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6CF7D">
      <w:pPr>
        <w:widowControl/>
        <w:autoSpaceDE/>
        <w:autoSpaceDN/>
        <w:ind w:firstLine="640" w:firstLineChars="200"/>
        <w:jc w:val="center"/>
        <w:rPr>
          <w:rFonts w:eastAsia="宋体" w:cs="Times New Roman"/>
          <w:snapToGrid w:val="0"/>
          <w:color w:val="auto"/>
          <w:kern w:val="0"/>
          <w:sz w:val="144"/>
          <w:szCs w:val="36"/>
        </w:rPr>
      </w:pPr>
      <w:r>
        <w:rPr>
          <w:rFonts w:hint="eastAsia" w:ascii="黑体" w:hAnsi="黑体" w:eastAsia="黑体" w:cs="黑体"/>
          <w:snapToGrid w:val="0"/>
          <w:color w:val="auto"/>
          <w:kern w:val="0"/>
          <w:sz w:val="32"/>
          <w:szCs w:val="32"/>
        </w:rPr>
        <w:t xml:space="preserve">云南省工程建设地方标准　      </w:t>
      </w:r>
      <w:r>
        <w:rPr>
          <w:rFonts w:eastAsia="Times New Roman" w:cs="Times New Roman"/>
          <w:b/>
          <w:bCs/>
          <w:snapToGrid w:val="0"/>
          <w:color w:val="auto"/>
          <w:kern w:val="0"/>
          <w:sz w:val="72"/>
        </w:rPr>
        <w:t>DB</w:t>
      </w:r>
    </w:p>
    <w:p w14:paraId="73865D2B">
      <w:pPr>
        <w:autoSpaceDE/>
        <w:autoSpaceDN/>
        <w:ind w:right="136"/>
        <w:jc w:val="right"/>
        <w:rPr>
          <w:color w:val="auto"/>
        </w:rPr>
      </w:pPr>
      <w:r>
        <w:rPr>
          <w:rFonts w:hint="default" w:ascii="Times New Roman" w:hAnsi="Times New Roman" w:eastAsia="华文仿宋" w:cs="Times New Roman"/>
          <w:snapToGrid w:val="0"/>
          <w:color w:val="auto"/>
          <w:spacing w:val="-2"/>
          <w:sz w:val="28"/>
          <w:szCs w:val="28"/>
        </w:rPr>
        <w:t>DBJ 53/T-</w:t>
      </w:r>
      <w:r>
        <w:rPr>
          <w:rFonts w:hint="eastAsia" w:ascii="Times New Roman" w:hAnsi="Times New Roman" w:eastAsia="华文仿宋" w:cs="Times New Roman"/>
          <w:snapToGrid w:val="0"/>
          <w:color w:val="auto"/>
          <w:spacing w:val="-2"/>
          <w:sz w:val="28"/>
          <w:szCs w:val="28"/>
          <w:lang w:val="en-US" w:eastAsia="zh-CN"/>
        </w:rPr>
        <w:t>XXX</w:t>
      </w:r>
      <w:r>
        <w:rPr>
          <w:rFonts w:hint="default" w:ascii="Times New Roman" w:hAnsi="Times New Roman" w:eastAsia="华文仿宋" w:cs="Times New Roman"/>
          <w:snapToGrid w:val="0"/>
          <w:color w:val="auto"/>
          <w:spacing w:val="-2"/>
          <w:sz w:val="28"/>
          <w:szCs w:val="28"/>
        </w:rPr>
        <w:t>-</w:t>
      </w:r>
      <w:r>
        <w:rPr>
          <w:rFonts w:hint="eastAsia" w:ascii="Times New Roman" w:hAnsi="Times New Roman" w:eastAsia="华文仿宋" w:cs="Times New Roman"/>
          <w:snapToGrid w:val="0"/>
          <w:color w:val="auto"/>
          <w:spacing w:val="-2"/>
          <w:sz w:val="28"/>
          <w:szCs w:val="28"/>
          <w:lang w:val="en-US" w:eastAsia="zh-CN"/>
        </w:rPr>
        <w:t>XXXX</w:t>
      </w:r>
    </w:p>
    <w:p w14:paraId="6288EE2D">
      <w:pPr>
        <w:autoSpaceDE/>
        <w:autoSpaceDN/>
        <w:ind w:right="136"/>
        <w:jc w:val="right"/>
        <w:rPr>
          <w:rFonts w:hint="default" w:ascii="Times New Roman" w:hAnsi="Times New Roman" w:eastAsia="华文仿宋" w:cs="Times New Roman"/>
          <w:snapToGrid w:val="0"/>
          <w:color w:val="auto"/>
          <w:spacing w:val="-2"/>
          <w:sz w:val="28"/>
          <w:szCs w:val="28"/>
          <w:lang w:val="en-US" w:eastAsia="zh-CN"/>
        </w:rPr>
      </w:pPr>
      <w:r>
        <w:rPr>
          <w:rFonts w:hint="default" w:ascii="Times New Roman" w:hAnsi="Times New Roman" w:eastAsia="宋体" w:cs="Times New Roman"/>
          <w:snapToGrid w:val="0"/>
          <w:color w:val="auto"/>
          <w:spacing w:val="-2"/>
          <w:sz w:val="28"/>
          <w:szCs w:val="28"/>
        </w:rPr>
        <w:t>备案号：</w:t>
      </w:r>
      <w:r>
        <w:rPr>
          <w:rFonts w:hint="eastAsia" w:ascii="Times New Roman" w:hAnsi="Times New Roman" w:eastAsia="宋体" w:cs="Times New Roman"/>
          <w:snapToGrid w:val="0"/>
          <w:color w:val="auto"/>
          <w:spacing w:val="-2"/>
          <w:sz w:val="28"/>
          <w:szCs w:val="28"/>
          <w:lang w:val="en-US" w:eastAsia="zh-CN"/>
        </w:rPr>
        <w:t>XXXXX</w:t>
      </w:r>
      <w:r>
        <w:rPr>
          <w:rFonts w:hint="default" w:ascii="Times New Roman" w:hAnsi="Times New Roman" w:eastAsia="华文仿宋" w:cs="Times New Roman"/>
          <w:snapToGrid w:val="0"/>
          <w:color w:val="auto"/>
          <w:spacing w:val="-2"/>
          <w:sz w:val="28"/>
          <w:szCs w:val="28"/>
        </w:rPr>
        <w:t>-</w:t>
      </w:r>
      <w:r>
        <w:rPr>
          <w:rFonts w:hint="eastAsia" w:ascii="Times New Roman" w:hAnsi="Times New Roman" w:eastAsia="华文仿宋" w:cs="Times New Roman"/>
          <w:snapToGrid w:val="0"/>
          <w:color w:val="auto"/>
          <w:spacing w:val="-2"/>
          <w:sz w:val="28"/>
          <w:szCs w:val="28"/>
          <w:lang w:val="en-US" w:eastAsia="zh-CN"/>
        </w:rPr>
        <w:t>XXXX</w:t>
      </w:r>
    </w:p>
    <w:p w14:paraId="1E4AEBC8">
      <w:pPr>
        <w:spacing w:before="1"/>
        <w:jc w:val="left"/>
        <w:rPr>
          <w:rFonts w:eastAsia="宋体" w:cs="Times New Roman"/>
          <w:snapToGrid w:val="0"/>
          <w:color w:val="auto"/>
          <w:sz w:val="12"/>
          <w:szCs w:val="18"/>
          <w:u w:val="single"/>
        </w:rPr>
      </w:pPr>
      <w:r>
        <w:rPr>
          <w:rFonts w:eastAsia="宋体" w:cs="Times New Roman"/>
          <w:snapToGrid w:val="0"/>
          <w:color w:val="auto"/>
          <w:sz w:val="18"/>
          <w:szCs w:val="18"/>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28575</wp:posOffset>
                </wp:positionV>
                <wp:extent cx="5292725" cy="19685"/>
                <wp:effectExtent l="0" t="9525" r="3175" b="27940"/>
                <wp:wrapNone/>
                <wp:docPr id="2" name="Line 2"/>
                <wp:cNvGraphicFramePr/>
                <a:graphic xmlns:a="http://schemas.openxmlformats.org/drawingml/2006/main">
                  <a:graphicData uri="http://schemas.microsoft.com/office/word/2010/wordprocessingShape">
                    <wps:wsp>
                      <wps:cNvCnPr>
                        <a:cxnSpLocks noChangeShapeType="1"/>
                      </wps:cNvCnPr>
                      <wps:spPr bwMode="auto">
                        <a:xfrm>
                          <a:off x="0" y="0"/>
                          <a:ext cx="5292725" cy="19685"/>
                        </a:xfrm>
                        <a:prstGeom prst="line">
                          <a:avLst/>
                        </a:prstGeom>
                        <a:noFill/>
                        <a:ln w="19050">
                          <a:solidFill>
                            <a:srgbClr val="000000"/>
                          </a:solidFill>
                          <a:miter lim="800000"/>
                        </a:ln>
                      </wps:spPr>
                      <wps:bodyPr/>
                    </wps:wsp>
                  </a:graphicData>
                </a:graphic>
              </wp:anchor>
            </w:drawing>
          </mc:Choice>
          <mc:Fallback>
            <w:pict>
              <v:line id="Line 2" o:spid="_x0000_s1026" o:spt="20" style="position:absolute;left:0pt;margin-left:0.3pt;margin-top:2.25pt;height:1.55pt;width:416.75pt;z-index:251660288;mso-width-relative:page;mso-height-relative:page;" filled="f" stroked="t" coordsize="21600,21600" o:gfxdata="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HsBwe1gAAAAQBAAAPAAAAAAAAAAEAIAAAACIA&#10;AABkcnMvZG93bnJldi54bWxQSwECFAAUAAAACACHTuJAXSKW+9IBAACxAwAADgAAAAAAAAABACAA&#10;AAAlAQAAZHJzL2Uyb0RvYy54bWxQSwUGAAAAAAYABgBZAQAAaQUAAAAA&#10;">
                <v:fill on="f" focussize="0,0"/>
                <v:stroke weight="1.5pt" color="#000000" miterlimit="8" joinstyle="miter"/>
                <v:imagedata o:title=""/>
                <o:lock v:ext="edit" aspectratio="f"/>
              </v:line>
            </w:pict>
          </mc:Fallback>
        </mc:AlternateContent>
      </w:r>
    </w:p>
    <w:p w14:paraId="54772B53">
      <w:pPr>
        <w:widowControl/>
        <w:spacing w:before="8"/>
        <w:ind w:left="1" w:right="1"/>
        <w:jc w:val="center"/>
        <w:rPr>
          <w:rFonts w:hint="eastAsia" w:ascii="宋体" w:hAnsi="宋体" w:eastAsia="宋体" w:cs="宋体"/>
          <w:b/>
          <w:bCs/>
          <w:snapToGrid w:val="0"/>
          <w:color w:val="auto"/>
          <w:spacing w:val="-11"/>
          <w:kern w:val="0"/>
          <w:sz w:val="44"/>
          <w:szCs w:val="44"/>
        </w:rPr>
      </w:pPr>
    </w:p>
    <w:p w14:paraId="3EAF4AE7">
      <w:pPr>
        <w:widowControl/>
        <w:spacing w:before="8"/>
        <w:ind w:left="1" w:right="1"/>
        <w:jc w:val="center"/>
        <w:outlineLvl w:val="9"/>
        <w:rPr>
          <w:rFonts w:hint="eastAsia" w:ascii="宋体" w:hAnsi="宋体" w:eastAsia="宋体" w:cs="宋体"/>
          <w:b/>
          <w:bCs/>
          <w:snapToGrid w:val="0"/>
          <w:color w:val="auto"/>
          <w:spacing w:val="-11"/>
          <w:kern w:val="0"/>
          <w:sz w:val="44"/>
          <w:szCs w:val="44"/>
        </w:rPr>
      </w:pPr>
      <w:bookmarkStart w:id="0" w:name="_Toc9695"/>
      <w:r>
        <w:rPr>
          <w:rFonts w:hint="eastAsia" w:ascii="宋体" w:hAnsi="宋体" w:eastAsia="宋体" w:cs="宋体"/>
          <w:b/>
          <w:bCs/>
          <w:snapToGrid w:val="0"/>
          <w:color w:val="auto"/>
          <w:spacing w:val="-11"/>
          <w:kern w:val="0"/>
          <w:sz w:val="44"/>
          <w:szCs w:val="44"/>
        </w:rPr>
        <w:t>云南省山地光伏电站设计标准</w:t>
      </w:r>
      <w:bookmarkEnd w:id="0"/>
    </w:p>
    <w:p w14:paraId="280FCD10">
      <w:pPr>
        <w:widowControl/>
        <w:spacing w:before="8"/>
        <w:ind w:left="1" w:right="1"/>
        <w:jc w:val="center"/>
        <w:rPr>
          <w:rFonts w:hint="eastAsia" w:ascii="宋体" w:hAnsi="宋体" w:eastAsia="宋体" w:cs="宋体"/>
          <w:b/>
          <w:bCs/>
          <w:snapToGrid w:val="0"/>
          <w:color w:val="auto"/>
          <w:w w:val="95"/>
          <w:kern w:val="0"/>
          <w:sz w:val="36"/>
        </w:rPr>
      </w:pPr>
      <w:r>
        <w:rPr>
          <w:rFonts w:hint="eastAsia" w:ascii="宋体" w:hAnsi="宋体" w:eastAsia="宋体" w:cs="宋体"/>
          <w:b/>
          <w:bCs/>
          <w:snapToGrid w:val="0"/>
          <w:color w:val="auto"/>
          <w:kern w:val="0"/>
          <w:szCs w:val="28"/>
        </w:rPr>
        <w:t>（</w:t>
      </w:r>
      <w:r>
        <w:rPr>
          <w:rFonts w:hint="eastAsia" w:ascii="宋体" w:hAnsi="宋体" w:eastAsia="宋体" w:cs="宋体"/>
          <w:b/>
          <w:bCs/>
          <w:snapToGrid w:val="0"/>
          <w:color w:val="auto"/>
          <w:kern w:val="0"/>
          <w:szCs w:val="28"/>
          <w:lang w:val="en-US" w:eastAsia="zh-CN"/>
        </w:rPr>
        <w:t>征求意见稿</w:t>
      </w:r>
      <w:r>
        <w:rPr>
          <w:rFonts w:hint="eastAsia" w:ascii="宋体" w:hAnsi="宋体" w:eastAsia="宋体" w:cs="宋体"/>
          <w:b/>
          <w:bCs/>
          <w:snapToGrid w:val="0"/>
          <w:color w:val="auto"/>
          <w:kern w:val="0"/>
          <w:szCs w:val="28"/>
        </w:rPr>
        <w:t>）</w:t>
      </w:r>
    </w:p>
    <w:p w14:paraId="280B2A9A">
      <w:pPr>
        <w:widowControl/>
        <w:wordWrap w:val="0"/>
        <w:autoSpaceDE/>
        <w:autoSpaceDN/>
        <w:jc w:val="center"/>
        <w:rPr>
          <w:rFonts w:hint="eastAsia" w:ascii="Times New Roman" w:hAnsi="Times New Roman" w:eastAsia="仿宋_GB2312" w:cs="Times New Roman"/>
          <w:b/>
          <w:bCs/>
          <w:snapToGrid/>
          <w:color w:val="auto"/>
          <w:kern w:val="2"/>
          <w:szCs w:val="36"/>
          <w:highlight w:val="none"/>
          <w:lang w:eastAsia="zh-CN"/>
          <w14:ligatures w14:val="standardContextual"/>
        </w:rPr>
      </w:pPr>
      <w:r>
        <w:rPr>
          <w:rFonts w:hint="eastAsia" w:ascii="Times New Roman" w:hAnsi="Times New Roman" w:eastAsia="仿宋_GB2312" w:cs="Times New Roman"/>
          <w:b/>
          <w:bCs/>
          <w:snapToGrid/>
          <w:color w:val="auto"/>
          <w:kern w:val="2"/>
          <w:szCs w:val="36"/>
          <w:highlight w:val="none"/>
          <w:lang w:eastAsia="zh-CN"/>
          <w14:ligatures w14:val="standardContextual"/>
        </w:rPr>
        <w:t>Code for design of mountainous photovoltaic power station</w:t>
      </w:r>
    </w:p>
    <w:p w14:paraId="6D3A6192">
      <w:pPr>
        <w:widowControl/>
        <w:wordWrap w:val="0"/>
        <w:autoSpaceDE/>
        <w:autoSpaceDN/>
        <w:jc w:val="center"/>
        <w:rPr>
          <w:rFonts w:eastAsia="Times New Roman" w:cs="Times New Roman"/>
          <w:snapToGrid w:val="0"/>
          <w:color w:val="auto"/>
          <w:kern w:val="0"/>
          <w:szCs w:val="28"/>
        </w:rPr>
      </w:pPr>
      <w:r>
        <w:rPr>
          <w:rFonts w:hint="eastAsia" w:ascii="Times New Roman" w:hAnsi="Times New Roman" w:eastAsia="仿宋_GB2312" w:cs="Times New Roman"/>
          <w:b/>
          <w:bCs/>
          <w:snapToGrid/>
          <w:color w:val="auto"/>
          <w:kern w:val="2"/>
          <w:szCs w:val="36"/>
          <w:highlight w:val="none"/>
          <w:lang w:eastAsia="zh-CN"/>
          <w14:ligatures w14:val="standardContextual"/>
        </w:rPr>
        <w:t>in Yunnan Province</w:t>
      </w:r>
    </w:p>
    <w:p w14:paraId="3245265F">
      <w:pPr>
        <w:widowControl/>
        <w:wordWrap w:val="0"/>
        <w:autoSpaceDE/>
        <w:autoSpaceDN/>
        <w:rPr>
          <w:rFonts w:eastAsia="宋体" w:cs="Times New Roman"/>
          <w:snapToGrid w:val="0"/>
          <w:color w:val="auto"/>
          <w:kern w:val="0"/>
          <w:sz w:val="32"/>
          <w:szCs w:val="32"/>
        </w:rPr>
      </w:pPr>
    </w:p>
    <w:p w14:paraId="602D7C03">
      <w:pPr>
        <w:widowControl/>
        <w:wordWrap w:val="0"/>
        <w:autoSpaceDE/>
        <w:autoSpaceDN/>
        <w:rPr>
          <w:rFonts w:eastAsia="宋体" w:cs="Times New Roman"/>
          <w:snapToGrid w:val="0"/>
          <w:color w:val="auto"/>
          <w:kern w:val="0"/>
          <w:sz w:val="32"/>
          <w:szCs w:val="32"/>
        </w:rPr>
      </w:pPr>
    </w:p>
    <w:p w14:paraId="56B171A9">
      <w:pPr>
        <w:widowControl/>
        <w:wordWrap w:val="0"/>
        <w:autoSpaceDE/>
        <w:autoSpaceDN/>
        <w:rPr>
          <w:rFonts w:eastAsia="宋体" w:cs="Times New Roman"/>
          <w:snapToGrid w:val="0"/>
          <w:color w:val="auto"/>
          <w:kern w:val="0"/>
          <w:sz w:val="32"/>
          <w:szCs w:val="32"/>
        </w:rPr>
      </w:pPr>
    </w:p>
    <w:p w14:paraId="62609822">
      <w:pPr>
        <w:widowControl/>
        <w:wordWrap w:val="0"/>
        <w:autoSpaceDE/>
        <w:autoSpaceDN/>
        <w:rPr>
          <w:rFonts w:eastAsia="宋体" w:cs="Times New Roman"/>
          <w:snapToGrid w:val="0"/>
          <w:color w:val="auto"/>
          <w:kern w:val="0"/>
          <w:sz w:val="32"/>
          <w:szCs w:val="32"/>
        </w:rPr>
      </w:pPr>
    </w:p>
    <w:p w14:paraId="0FF63452">
      <w:pPr>
        <w:widowControl/>
        <w:wordWrap w:val="0"/>
        <w:autoSpaceDE/>
        <w:autoSpaceDN/>
        <w:rPr>
          <w:rFonts w:eastAsia="宋体" w:cs="Times New Roman"/>
          <w:snapToGrid w:val="0"/>
          <w:color w:val="auto"/>
          <w:kern w:val="0"/>
          <w:sz w:val="32"/>
          <w:szCs w:val="32"/>
        </w:rPr>
      </w:pPr>
    </w:p>
    <w:p w14:paraId="3B5A999F">
      <w:pPr>
        <w:widowControl/>
        <w:wordWrap w:val="0"/>
        <w:autoSpaceDE/>
        <w:autoSpaceDN/>
        <w:rPr>
          <w:rFonts w:eastAsia="宋体" w:cs="Times New Roman"/>
          <w:snapToGrid w:val="0"/>
          <w:color w:val="auto"/>
          <w:kern w:val="0"/>
          <w:sz w:val="32"/>
          <w:szCs w:val="32"/>
        </w:rPr>
      </w:pPr>
    </w:p>
    <w:p w14:paraId="442EFB59">
      <w:pPr>
        <w:widowControl/>
        <w:wordWrap w:val="0"/>
        <w:autoSpaceDE/>
        <w:autoSpaceDN/>
        <w:rPr>
          <w:rFonts w:eastAsia="宋体" w:cs="Times New Roman"/>
          <w:snapToGrid w:val="0"/>
          <w:color w:val="auto"/>
          <w:kern w:val="0"/>
          <w:sz w:val="32"/>
          <w:szCs w:val="32"/>
        </w:rPr>
      </w:pPr>
    </w:p>
    <w:p w14:paraId="23F3BE21">
      <w:pPr>
        <w:widowControl/>
        <w:wordWrap w:val="0"/>
        <w:autoSpaceDE/>
        <w:autoSpaceDN/>
        <w:rPr>
          <w:rFonts w:eastAsia="宋体" w:cs="Times New Roman"/>
          <w:snapToGrid w:val="0"/>
          <w:color w:val="auto"/>
          <w:kern w:val="0"/>
          <w:sz w:val="32"/>
          <w:szCs w:val="32"/>
        </w:rPr>
      </w:pPr>
    </w:p>
    <w:p w14:paraId="17BAC55E">
      <w:pPr>
        <w:widowControl/>
        <w:wordWrap w:val="0"/>
        <w:autoSpaceDE/>
        <w:autoSpaceDN/>
        <w:rPr>
          <w:rFonts w:eastAsia="宋体" w:cs="Times New Roman"/>
          <w:snapToGrid w:val="0"/>
          <w:color w:val="auto"/>
          <w:kern w:val="0"/>
          <w:sz w:val="32"/>
          <w:szCs w:val="32"/>
        </w:rPr>
      </w:pPr>
    </w:p>
    <w:p w14:paraId="07A31AF4">
      <w:pPr>
        <w:widowControl/>
        <w:tabs>
          <w:tab w:val="left" w:pos="5589"/>
        </w:tabs>
        <w:autoSpaceDE/>
        <w:autoSpaceDN/>
        <w:spacing w:before="263"/>
        <w:jc w:val="center"/>
        <w:rPr>
          <w:rFonts w:hint="eastAsia" w:ascii="宋体" w:hAnsi="宋体" w:eastAsia="宋体" w:cs="Times New Roman"/>
          <w:snapToGrid w:val="0"/>
          <w:color w:val="auto"/>
          <w:kern w:val="0"/>
          <w:szCs w:val="28"/>
        </w:rPr>
      </w:pPr>
      <w:r>
        <w:rPr>
          <w:rFonts w:hint="default" w:ascii="Times New Roman" w:hAnsi="Times New Roman" w:eastAsia="华文仿宋" w:cs="Times New Roman"/>
          <w:b/>
          <w:bCs/>
          <w:color w:val="auto"/>
          <w:spacing w:val="-2"/>
          <w:sz w:val="28"/>
          <w:szCs w:val="28"/>
          <w:highlight w:val="none"/>
          <w:lang w:val="en-US" w:eastAsia="zh-CN" w:bidi="ar-SA"/>
        </w:rPr>
        <w:t>202</w:t>
      </w:r>
      <w:r>
        <w:rPr>
          <w:rFonts w:hint="eastAsia" w:ascii="Times New Roman" w:hAnsi="Times New Roman" w:eastAsia="华文仿宋" w:cs="Times New Roman"/>
          <w:b/>
          <w:bCs/>
          <w:color w:val="auto"/>
          <w:spacing w:val="-2"/>
          <w:sz w:val="28"/>
          <w:szCs w:val="28"/>
          <w:highlight w:val="none"/>
          <w:lang w:val="en-US" w:eastAsia="zh-CN" w:bidi="ar-SA"/>
        </w:rPr>
        <w:t>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eastAsia" w:eastAsia="华文仿宋" w:cs="Times New Roman"/>
          <w:b w:val="0"/>
          <w:bCs w:val="0"/>
          <w:color w:val="auto"/>
          <w:spacing w:val="-2"/>
          <w:sz w:val="28"/>
          <w:szCs w:val="28"/>
          <w:highlight w:val="none"/>
          <w:lang w:val="en-US" w:eastAsia="zh-CN" w:bidi="ar-SA"/>
        </w:rPr>
        <w:t xml:space="preserve">  </w:t>
      </w:r>
      <w:r>
        <w:rPr>
          <w:rFonts w:hint="eastAsia" w:ascii="黑体" w:hAnsi="黑体" w:eastAsia="黑体" w:cs="黑体"/>
          <w:b w:val="0"/>
          <w:bCs w:val="0"/>
          <w:color w:val="auto"/>
          <w:sz w:val="28"/>
          <w:szCs w:val="28"/>
          <w:highlight w:val="none"/>
        </w:rPr>
        <w:t>发布</w:t>
      </w:r>
      <w:r>
        <w:rPr>
          <w:rFonts w:ascii="宋体" w:hAnsi="宋体" w:eastAsia="宋体"/>
          <w:b w:val="0"/>
          <w:bCs w:val="0"/>
          <w:color w:val="auto"/>
          <w:sz w:val="28"/>
          <w:szCs w:val="28"/>
          <w:highlight w:val="none"/>
        </w:rPr>
        <w:t xml:space="preserve">                </w:t>
      </w:r>
      <w:r>
        <w:rPr>
          <w:rFonts w:hint="default" w:ascii="Times New Roman" w:hAnsi="Times New Roman" w:eastAsia="宋体" w:cs="Times New Roman"/>
          <w:b w:val="0"/>
          <w:bCs w:val="0"/>
          <w:color w:val="auto"/>
          <w:sz w:val="28"/>
          <w:szCs w:val="28"/>
          <w:highlight w:val="none"/>
        </w:rPr>
        <w:t xml:space="preserve"> </w:t>
      </w:r>
      <w:r>
        <w:rPr>
          <w:rFonts w:hint="default" w:ascii="Times New Roman" w:hAnsi="Times New Roman" w:eastAsia="华文仿宋" w:cs="Times New Roman"/>
          <w:b/>
          <w:bCs/>
          <w:color w:val="auto"/>
          <w:spacing w:val="-2"/>
          <w:sz w:val="28"/>
          <w:szCs w:val="28"/>
          <w:highlight w:val="none"/>
          <w:lang w:val="en-US" w:eastAsia="zh-CN" w:bidi="ar-SA"/>
        </w:rPr>
        <w:t>202</w:t>
      </w:r>
      <w:r>
        <w:rPr>
          <w:rFonts w:hint="eastAsia" w:ascii="Times New Roman" w:hAnsi="Times New Roman" w:eastAsia="华文仿宋" w:cs="Times New Roman"/>
          <w:b/>
          <w:bCs/>
          <w:color w:val="auto"/>
          <w:spacing w:val="-2"/>
          <w:sz w:val="28"/>
          <w:szCs w:val="28"/>
          <w:highlight w:val="none"/>
          <w:lang w:val="en-US" w:eastAsia="zh-CN" w:bidi="ar-SA"/>
        </w:rPr>
        <w:t>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eastAsia" w:eastAsia="华文仿宋" w:cs="Times New Roman"/>
          <w:b w:val="0"/>
          <w:bCs w:val="0"/>
          <w:color w:val="auto"/>
          <w:spacing w:val="-2"/>
          <w:sz w:val="28"/>
          <w:szCs w:val="28"/>
          <w:highlight w:val="none"/>
          <w:lang w:val="en-US" w:eastAsia="zh-CN" w:bidi="ar-SA"/>
        </w:rPr>
        <w:t xml:space="preserve">  </w:t>
      </w:r>
      <w:r>
        <w:rPr>
          <w:rFonts w:hint="eastAsia" w:ascii="黑体" w:hAnsi="黑体" w:eastAsia="黑体" w:cs="黑体"/>
          <w:b w:val="0"/>
          <w:bCs w:val="0"/>
          <w:color w:val="auto"/>
          <w:sz w:val="28"/>
          <w:szCs w:val="28"/>
          <w:highlight w:val="none"/>
        </w:rPr>
        <w:t>实施</w:t>
      </w:r>
      <w:r>
        <w:rPr>
          <w:rFonts w:eastAsia="宋体" w:cs="Times New Roman"/>
          <w:snapToGrid w:val="0"/>
          <w:color w:val="auto"/>
          <w:kern w:val="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501650</wp:posOffset>
                </wp:positionV>
                <wp:extent cx="5292725" cy="19685"/>
                <wp:effectExtent l="0" t="9525" r="3175" b="2794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5292725" cy="19685"/>
                        </a:xfrm>
                        <a:prstGeom prst="line">
                          <a:avLst/>
                        </a:prstGeom>
                        <a:noFill/>
                        <a:ln w="19050">
                          <a:solidFill>
                            <a:srgbClr val="000000"/>
                          </a:solidFill>
                          <a:miter lim="800000"/>
                        </a:ln>
                      </wps:spPr>
                      <wps:bodyPr/>
                    </wps:wsp>
                  </a:graphicData>
                </a:graphic>
              </wp:anchor>
            </w:drawing>
          </mc:Choice>
          <mc:Fallback>
            <w:pict>
              <v:line id="Line 2" o:spid="_x0000_s1026" o:spt="20" style="position:absolute;left:0pt;margin-left:-1.25pt;margin-top:39.5pt;height:1.55pt;width:416.75pt;z-index:251661312;mso-width-relative:page;mso-height-relative:page;" filled="f" stroked="t" coordsize="21600,21600" o:gfxdata="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tup7fYAAAACAEAAA8AAAAAAAAAAQAgAAAA&#10;IgAAAGRycy9kb3ducmV2LnhtbFBLAQIUABQAAAAIAIdO4kCZtzUV0gEAALEDAAAOAAAAAAAAAAEA&#10;IAAAACcBAABkcnMvZTJvRG9jLnhtbFBLBQYAAAAABgAGAFkBAABrBQAAAAA=&#10;">
                <v:fill on="f" focussize="0,0"/>
                <v:stroke weight="1.5pt" color="#000000" miterlimit="8" joinstyle="miter"/>
                <v:imagedata o:title=""/>
                <o:lock v:ext="edit" aspectratio="f"/>
              </v:line>
            </w:pict>
          </mc:Fallback>
        </mc:AlternateContent>
      </w:r>
    </w:p>
    <w:p w14:paraId="30925E79">
      <w:pPr>
        <w:widowControl/>
        <w:autoSpaceDE/>
        <w:autoSpaceDN/>
        <w:spacing w:before="163" w:beforeLines="50"/>
        <w:ind w:left="0" w:leftChars="0" w:right="0" w:rightChars="0" w:firstLine="0" w:firstLineChars="0"/>
        <w:jc w:val="center"/>
        <w:outlineLvl w:val="9"/>
        <w:rPr>
          <w:rFonts w:hint="eastAsia" w:eastAsia="黑体" w:cs="Times New Roman"/>
          <w:snapToGrid w:val="0"/>
          <w:color w:val="auto"/>
          <w:sz w:val="32"/>
          <w:szCs w:val="32"/>
        </w:rPr>
      </w:pPr>
      <w:bookmarkStart w:id="1" w:name="_Toc31661"/>
      <w:r>
        <w:rPr>
          <w:rFonts w:hint="eastAsia" w:eastAsia="黑体" w:cs="Times New Roman"/>
          <w:snapToGrid w:val="0"/>
          <w:color w:val="auto"/>
          <w:sz w:val="32"/>
          <w:szCs w:val="32"/>
          <w:lang w:eastAsia="zh-CN"/>
        </w:rPr>
        <w:t>云南省能源局</w:t>
      </w:r>
      <w:r>
        <w:rPr>
          <w:rFonts w:hint="eastAsia" w:eastAsia="黑体" w:cs="Times New Roman"/>
          <w:snapToGrid w:val="0"/>
          <w:color w:val="auto"/>
          <w:sz w:val="32"/>
          <w:szCs w:val="32"/>
          <w:lang w:val="en-US" w:eastAsia="zh-CN"/>
        </w:rPr>
        <w:t xml:space="preserve">          </w:t>
      </w:r>
      <w:r>
        <w:rPr>
          <w:rFonts w:hint="eastAsia" w:eastAsia="黑体" w:cs="Times New Roman"/>
          <w:snapToGrid w:val="0"/>
          <w:color w:val="auto"/>
          <w:sz w:val="32"/>
          <w:szCs w:val="32"/>
        </w:rPr>
        <w:t>云南省住房和城乡建设厅    发布</w:t>
      </w:r>
      <w:bookmarkEnd w:id="1"/>
    </w:p>
    <w:p w14:paraId="3A787ADC">
      <w:pPr>
        <w:widowControl/>
        <w:autoSpaceDE/>
        <w:autoSpaceDN/>
        <w:spacing w:before="163" w:beforeLines="50"/>
        <w:ind w:left="0" w:leftChars="0" w:right="0" w:rightChars="0" w:firstLine="0" w:firstLineChars="0"/>
        <w:jc w:val="center"/>
        <w:outlineLvl w:val="9"/>
        <w:rPr>
          <w:rFonts w:hint="eastAsia" w:eastAsia="黑体" w:cs="Times New Roman"/>
          <w:snapToGrid w:val="0"/>
          <w:color w:val="auto"/>
          <w:sz w:val="32"/>
          <w:szCs w:val="32"/>
        </w:rPr>
      </w:pPr>
    </w:p>
    <w:p w14:paraId="634E08AF">
      <w:pPr>
        <w:widowControl/>
        <w:autoSpaceDE/>
        <w:autoSpaceDN/>
        <w:spacing w:before="163" w:beforeLines="50"/>
        <w:ind w:left="0" w:leftChars="0" w:right="0" w:rightChars="0" w:firstLine="0" w:firstLineChars="0"/>
        <w:jc w:val="center"/>
        <w:outlineLvl w:val="9"/>
        <w:rPr>
          <w:rFonts w:hint="eastAsia" w:eastAsia="黑体" w:cs="Times New Roman"/>
          <w:snapToGrid w:val="0"/>
          <w:color w:val="auto"/>
          <w:sz w:val="32"/>
          <w:szCs w:val="32"/>
        </w:rPr>
      </w:pPr>
    </w:p>
    <w:p w14:paraId="014738EE">
      <w:pPr>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Times New Roman" w:hAnsi="Times New Roman" w:eastAsia="宋体" w:cs="宋体"/>
          <w:b w:val="0"/>
          <w:bCs w:val="0"/>
          <w:snapToGrid w:val="0"/>
          <w:color w:val="auto"/>
          <w:sz w:val="28"/>
          <w:szCs w:val="28"/>
          <w:highlight w:val="none"/>
        </w:rPr>
      </w:pPr>
      <w:r>
        <w:rPr>
          <w:rFonts w:hint="eastAsia" w:ascii="微软雅黑" w:hAnsi="微软雅黑" w:eastAsia="微软雅黑" w:cs="微软雅黑"/>
          <w:b w:val="0"/>
          <w:bCs w:val="0"/>
          <w:snapToGrid w:val="0"/>
          <w:color w:val="auto"/>
          <w:sz w:val="44"/>
          <w:szCs w:val="44"/>
          <w:highlight w:val="none"/>
        </w:rPr>
        <w:t>前</w:t>
      </w:r>
      <w:r>
        <w:rPr>
          <w:rFonts w:hint="eastAsia" w:ascii="微软雅黑" w:hAnsi="微软雅黑" w:eastAsia="微软雅黑" w:cs="微软雅黑"/>
          <w:b w:val="0"/>
          <w:bCs w:val="0"/>
          <w:snapToGrid w:val="0"/>
          <w:color w:val="auto"/>
          <w:sz w:val="44"/>
          <w:szCs w:val="44"/>
          <w:highlight w:val="none"/>
          <w:lang w:eastAsia="zh-CN"/>
        </w:rPr>
        <w:t>　　</w:t>
      </w:r>
      <w:r>
        <w:rPr>
          <w:rFonts w:hint="eastAsia" w:ascii="微软雅黑" w:hAnsi="微软雅黑" w:eastAsia="微软雅黑" w:cs="微软雅黑"/>
          <w:b w:val="0"/>
          <w:bCs w:val="0"/>
          <w:snapToGrid w:val="0"/>
          <w:color w:val="auto"/>
          <w:sz w:val="44"/>
          <w:szCs w:val="44"/>
          <w:highlight w:val="none"/>
        </w:rPr>
        <w:t>言</w:t>
      </w:r>
    </w:p>
    <w:p w14:paraId="1D8214A9">
      <w:pPr>
        <w:pageBreakBefore w:val="0"/>
        <w:widowControl w:val="0"/>
        <w:kinsoku/>
        <w:wordWrap/>
        <w:overflowPunct/>
        <w:topLinePunct w:val="0"/>
        <w:autoSpaceDE w:val="0"/>
        <w:autoSpaceDN w:val="0"/>
        <w:bidi w:val="0"/>
        <w:adjustRightInd w:val="0"/>
        <w:snapToGrid w:val="0"/>
        <w:spacing w:line="360" w:lineRule="auto"/>
        <w:ind w:left="50" w:firstLine="0" w:firstLineChars="0"/>
        <w:jc w:val="both"/>
        <w:textAlignment w:val="auto"/>
        <w:rPr>
          <w:rFonts w:hint="eastAsia" w:ascii="Times New Roman" w:hAnsi="Times New Roman" w:eastAsia="宋体" w:cs="宋体"/>
          <w:b w:val="0"/>
          <w:bCs w:val="0"/>
          <w:color w:val="auto"/>
          <w:sz w:val="28"/>
          <w:szCs w:val="28"/>
          <w:highlight w:val="none"/>
        </w:rPr>
      </w:pPr>
    </w:p>
    <w:p w14:paraId="4084E8FF">
      <w:pPr>
        <w:pStyle w:val="29"/>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color w:val="auto"/>
        </w:rPr>
      </w:pPr>
      <w:r>
        <w:rPr>
          <w:rFonts w:hint="eastAsia"/>
          <w:color w:val="auto"/>
        </w:rPr>
        <w:t>根据云南省住房和城乡建设厅《云南省住房和城乡建设厅关于印发2023年工程建设地方标准编制计划的通知》要求，规程编制组经广泛调查研究，认真总结实践经验，结合云南省的实际情况，参考国家及其他省市有关先进标准，并在广泛征求意见的基础上，制定本规程。</w:t>
      </w:r>
    </w:p>
    <w:p w14:paraId="31560200">
      <w:pPr>
        <w:pStyle w:val="29"/>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color w:val="auto"/>
          <w:lang w:eastAsia="zh-CN"/>
        </w:rPr>
      </w:pPr>
      <w:r>
        <w:rPr>
          <w:rFonts w:hint="eastAsia"/>
          <w:color w:val="auto"/>
        </w:rPr>
        <w:t>本规程的主要技术内容是：总则、术语和符号、基本规定、站址选择、太阳能资源分析、光伏发电系统、站区布置、电气、接入系统、建筑与结构、给排水、暖通与空调、消防、环境保护与水土保持、劳动安全与职业健康</w:t>
      </w:r>
      <w:r>
        <w:rPr>
          <w:rFonts w:hint="eastAsia"/>
          <w:color w:val="auto"/>
          <w:lang w:eastAsia="zh-CN"/>
        </w:rPr>
        <w:t>。</w:t>
      </w:r>
    </w:p>
    <w:p w14:paraId="3DA92BBF">
      <w:pPr>
        <w:pStyle w:val="29"/>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color w:val="auto"/>
        </w:rPr>
      </w:pPr>
      <w:r>
        <w:rPr>
          <w:rFonts w:hint="eastAsia"/>
          <w:color w:val="auto"/>
        </w:rPr>
        <w:t>本规程由云南省住房和城乡建设厅负责管理，由云南省绿色能源行业协会负责具体技术内容的解释。执行过程中如有意见和建议，请寄送</w:t>
      </w:r>
      <w:r>
        <w:rPr>
          <w:rFonts w:hint="eastAsia"/>
          <w:color w:val="auto"/>
          <w:lang w:val="en-US" w:eastAsia="zh-CN"/>
        </w:rPr>
        <w:t>至</w:t>
      </w:r>
      <w:r>
        <w:rPr>
          <w:rFonts w:hint="eastAsia"/>
          <w:color w:val="auto"/>
        </w:rPr>
        <w:t>云南省绿色能源行业协会（地址：</w:t>
      </w:r>
      <w:r>
        <w:rPr>
          <w:rFonts w:hint="eastAsia"/>
          <w:color w:val="auto"/>
          <w:lang w:val="en-US" w:eastAsia="zh-CN"/>
        </w:rPr>
        <w:t>云南省昆明市五华区茭菱路中环金界B座1909</w:t>
      </w:r>
      <w:r>
        <w:rPr>
          <w:rFonts w:hint="eastAsia"/>
          <w:color w:val="auto"/>
        </w:rPr>
        <w:t>，邮编：</w:t>
      </w:r>
      <w:r>
        <w:rPr>
          <w:rFonts w:hint="eastAsia"/>
          <w:color w:val="auto"/>
          <w:lang w:val="en-US" w:eastAsia="zh-CN"/>
        </w:rPr>
        <w:t>650106，邮箱：</w:t>
      </w:r>
      <w:r>
        <w:rPr>
          <w:rFonts w:hint="eastAsia"/>
          <w:color w:val="auto"/>
        </w:rPr>
        <w:t>ynslsny@163.com）。</w:t>
      </w:r>
    </w:p>
    <w:p w14:paraId="045B4B06">
      <w:pPr>
        <w:pStyle w:val="29"/>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color w:val="auto"/>
        </w:rPr>
      </w:pPr>
      <w:r>
        <w:rPr>
          <w:rFonts w:hint="eastAsia" w:ascii="黑体" w:hAnsi="黑体" w:eastAsia="黑体" w:cs="黑体"/>
          <w:color w:val="auto"/>
        </w:rPr>
        <w:t>主编单位：</w:t>
      </w:r>
    </w:p>
    <w:p w14:paraId="6309F6CD">
      <w:pPr>
        <w:pStyle w:val="29"/>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color w:val="auto"/>
        </w:rPr>
      </w:pPr>
      <w:r>
        <w:rPr>
          <w:rFonts w:hint="eastAsia" w:ascii="黑体" w:hAnsi="黑体" w:eastAsia="黑体" w:cs="黑体"/>
          <w:color w:val="auto"/>
        </w:rPr>
        <w:t>参编单位：</w:t>
      </w:r>
    </w:p>
    <w:p w14:paraId="5577DFC5">
      <w:pPr>
        <w:pStyle w:val="29"/>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color w:val="auto"/>
        </w:rPr>
      </w:pPr>
      <w:r>
        <w:rPr>
          <w:rFonts w:hint="eastAsia" w:ascii="黑体" w:hAnsi="黑体" w:eastAsia="黑体" w:cs="黑体"/>
          <w:color w:val="auto"/>
        </w:rPr>
        <w:t>主要起草人员：</w:t>
      </w:r>
    </w:p>
    <w:p w14:paraId="50FD5A5E">
      <w:pPr>
        <w:pStyle w:val="29"/>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color w:val="auto"/>
        </w:rPr>
      </w:pPr>
      <w:r>
        <w:rPr>
          <w:rFonts w:hint="eastAsia" w:ascii="黑体" w:hAnsi="黑体" w:eastAsia="黑体" w:cs="黑体"/>
          <w:color w:val="auto"/>
        </w:rPr>
        <w:t>主要审查人员：</w:t>
      </w:r>
    </w:p>
    <w:p w14:paraId="48F6848A">
      <w:pPr>
        <w:widowControl/>
        <w:autoSpaceDE/>
        <w:autoSpaceDN/>
        <w:spacing w:before="163" w:beforeLines="50"/>
        <w:ind w:left="0" w:leftChars="0" w:right="0" w:rightChars="0" w:firstLine="0" w:firstLineChars="0"/>
        <w:jc w:val="center"/>
        <w:outlineLvl w:val="9"/>
        <w:rPr>
          <w:rFonts w:hint="eastAsia" w:eastAsia="黑体" w:cs="Times New Roman"/>
          <w:snapToGrid w:val="0"/>
          <w:color w:val="auto"/>
          <w:sz w:val="32"/>
          <w:szCs w:val="32"/>
        </w:rPr>
        <w:sectPr>
          <w:headerReference r:id="rId5" w:type="default"/>
          <w:footerReference r:id="rId6" w:type="default"/>
          <w:pgSz w:w="11900" w:h="16840"/>
          <w:pgMar w:top="1440" w:right="1531" w:bottom="1440" w:left="1531" w:header="851" w:footer="992" w:gutter="0"/>
          <w:cols w:space="425" w:num="1"/>
          <w:docGrid w:type="lines" w:linePitch="326" w:charSpace="0"/>
        </w:sectPr>
      </w:pPr>
    </w:p>
    <w:sdt>
      <w:sdtPr>
        <w:rPr>
          <w:rFonts w:ascii="宋体" w:hAnsi="宋体" w:eastAsia="宋体" w:cs="Arial"/>
          <w:snapToGrid w:val="0"/>
          <w:color w:val="auto"/>
          <w:sz w:val="21"/>
          <w:szCs w:val="21"/>
          <w:lang w:val="en-US" w:eastAsia="en-US" w:bidi="ar-SA"/>
        </w:rPr>
        <w:id w:val="147462877"/>
        <w15:color w:val="DBDBDB"/>
        <w:docPartObj>
          <w:docPartGallery w:val="Table of Contents"/>
          <w:docPartUnique/>
        </w:docPartObj>
      </w:sdtPr>
      <w:sdtEndPr>
        <w:rPr>
          <w:rFonts w:hint="default" w:ascii="Times New Roman" w:hAnsi="Times New Roman" w:eastAsia="宋体" w:cs="Times New Roman"/>
          <w:b/>
          <w:snapToGrid w:val="0"/>
          <w:color w:val="auto"/>
          <w:sz w:val="32"/>
          <w:szCs w:val="40"/>
          <w:highlight w:val="none"/>
          <w:lang w:val="en-US" w:eastAsia="zh-CN" w:bidi="ar-SA"/>
        </w:rPr>
      </w:sdtEndPr>
      <w:sdtContent>
        <w:p w14:paraId="18F769B1">
          <w:pPr>
            <w:spacing w:before="0" w:beforeLines="0" w:after="0" w:afterLines="0" w:line="240" w:lineRule="auto"/>
            <w:ind w:left="0" w:leftChars="0" w:right="0" w:rightChars="0" w:firstLine="0" w:firstLineChars="0"/>
            <w:jc w:val="center"/>
            <w:rPr>
              <w:color w:val="auto"/>
            </w:rPr>
          </w:pPr>
          <w:r>
            <w:rPr>
              <w:rFonts w:ascii="宋体" w:hAnsi="宋体" w:eastAsia="宋体"/>
              <w:b/>
              <w:bCs/>
              <w:color w:val="auto"/>
              <w:sz w:val="44"/>
              <w:szCs w:val="44"/>
            </w:rPr>
            <w:t>目</w:t>
          </w:r>
          <w:r>
            <w:rPr>
              <w:rFonts w:hint="eastAsia" w:ascii="宋体" w:hAnsi="宋体" w:eastAsia="宋体"/>
              <w:b/>
              <w:bCs/>
              <w:color w:val="auto"/>
              <w:sz w:val="44"/>
              <w:szCs w:val="44"/>
              <w:lang w:val="en-US" w:eastAsia="zh-CN"/>
            </w:rPr>
            <w:t xml:space="preserve">  </w:t>
          </w:r>
          <w:r>
            <w:rPr>
              <w:rFonts w:ascii="宋体" w:hAnsi="宋体" w:eastAsia="宋体"/>
              <w:b/>
              <w:bCs/>
              <w:color w:val="auto"/>
              <w:sz w:val="44"/>
              <w:szCs w:val="44"/>
            </w:rPr>
            <w:t>录</w:t>
          </w:r>
        </w:p>
        <w:p w14:paraId="3913F333">
          <w:pPr>
            <w:pStyle w:val="16"/>
            <w:tabs>
              <w:tab w:val="right" w:leader="dot" w:pos="9072"/>
            </w:tabs>
            <w:rPr>
              <w:rFonts w:hint="default" w:ascii="Times New Roman" w:hAnsi="Times New Roman" w:eastAsia="宋体" w:cs="Times New Roman"/>
              <w:snapToGrid w:val="0"/>
              <w:color w:val="auto"/>
              <w:sz w:val="32"/>
              <w:szCs w:val="40"/>
              <w:highlight w:val="none"/>
              <w:lang w:val="en-US" w:eastAsia="zh-CN" w:bidi="ar-SA"/>
            </w:rPr>
          </w:pPr>
        </w:p>
        <w:p w14:paraId="75A222A0">
          <w:pPr>
            <w:pStyle w:val="16"/>
            <w:tabs>
              <w:tab w:val="right" w:leader="dot" w:pos="9072"/>
            </w:tabs>
            <w:rPr>
              <w:rFonts w:hint="eastAsia" w:asciiTheme="minorEastAsia" w:hAnsiTheme="minorEastAsia" w:eastAsiaTheme="minorEastAsia" w:cstheme="minorEastAsia"/>
              <w:color w:val="auto"/>
              <w:sz w:val="28"/>
              <w:szCs w:val="28"/>
            </w:rPr>
          </w:pPr>
          <w:r>
            <w:rPr>
              <w:rFonts w:hint="default" w:ascii="Times New Roman" w:hAnsi="Times New Roman" w:eastAsia="宋体" w:cs="Times New Roman"/>
              <w:snapToGrid w:val="0"/>
              <w:color w:val="auto"/>
              <w:sz w:val="32"/>
              <w:szCs w:val="40"/>
              <w:highlight w:val="none"/>
              <w:lang w:val="en-US" w:eastAsia="zh-CN" w:bidi="ar-SA"/>
            </w:rPr>
            <w:fldChar w:fldCharType="begin"/>
          </w:r>
          <w:r>
            <w:rPr>
              <w:rFonts w:hint="default" w:ascii="Times New Roman" w:hAnsi="Times New Roman" w:eastAsia="宋体" w:cs="Times New Roman"/>
              <w:snapToGrid w:val="0"/>
              <w:color w:val="auto"/>
              <w:sz w:val="32"/>
              <w:szCs w:val="40"/>
              <w:highlight w:val="none"/>
              <w:lang w:val="en-US" w:eastAsia="zh-CN" w:bidi="ar-SA"/>
            </w:rPr>
            <w:instrText xml:space="preserve">TOC \o "1-2" \h \u </w:instrText>
          </w:r>
          <w:r>
            <w:rPr>
              <w:rFonts w:hint="default" w:ascii="Times New Roman" w:hAnsi="Times New Roman" w:eastAsia="宋体" w:cs="Times New Roman"/>
              <w:snapToGrid w:val="0"/>
              <w:color w:val="auto"/>
              <w:sz w:val="32"/>
              <w:szCs w:val="40"/>
              <w:highlight w:val="none"/>
              <w:lang w:val="en-US" w:eastAsia="zh-CN" w:bidi="ar-SA"/>
            </w:rPr>
            <w:fldChar w:fldCharType="separate"/>
          </w: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_Toc8633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总    则</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_Toc8633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A677ED1">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_Toc17680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2</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术语和符号</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_Toc17680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5D1D33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_Toc22556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术</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语</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_Toc22556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3CCBF21">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_Toc13877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2</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符</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号</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_Toc13877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B3A1E21">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_Toc27360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3</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基本规定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_Toc27360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602BBA0">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_Toc25063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4</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站址选择</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_Toc25063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1FA287C">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_Toc30696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highlight w:val="none"/>
              <w:lang w:val="en-US" w:eastAsia="zh-CN"/>
            </w:rPr>
            <w:t>5</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highlight w:val="none"/>
              <w:lang w:eastAsia="zh-CN"/>
            </w:rPr>
            <w:t>太阳能资源分析</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_Toc30696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4A83416">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_Toc22039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5.</w:t>
          </w:r>
          <w:r>
            <w:rPr>
              <w:rFonts w:hint="eastAsia" w:asciiTheme="minorEastAsia" w:hAnsiTheme="minorEastAsia" w:eastAsiaTheme="minorEastAsia" w:cstheme="minorEastAsia"/>
              <w:bCs/>
              <w:color w:val="auto"/>
              <w:sz w:val="28"/>
              <w:szCs w:val="28"/>
              <w:lang w:val="en-US" w:eastAsia="zh-CN"/>
            </w:rPr>
            <w:t xml:space="preserve"> </w:t>
          </w:r>
          <w:r>
            <w:rPr>
              <w:rFonts w:hint="eastAsia" w:asciiTheme="minorEastAsia" w:hAnsiTheme="minorEastAsia" w:eastAsiaTheme="minorEastAsia" w:cstheme="minorEastAsia"/>
              <w:bCs/>
              <w:color w:val="auto"/>
              <w:sz w:val="28"/>
              <w:szCs w:val="28"/>
              <w:lang w:eastAsia="zh-CN"/>
            </w:rPr>
            <w:t>1</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一般规定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_Toc22039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E02D5A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_Toc26284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5.</w:t>
          </w:r>
          <w:r>
            <w:rPr>
              <w:rFonts w:hint="eastAsia" w:asciiTheme="minorEastAsia" w:hAnsiTheme="minorEastAsia" w:eastAsiaTheme="minorEastAsia" w:cstheme="minorEastAsia"/>
              <w:bCs/>
              <w:color w:val="auto"/>
              <w:sz w:val="28"/>
              <w:szCs w:val="28"/>
              <w:lang w:val="en-US" w:eastAsia="zh-CN"/>
            </w:rPr>
            <w:t xml:space="preserve"> 2</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参考气象站基本条件和数据采集</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_Toc26284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5DF3D70">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_Toc20597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5.</w:t>
          </w:r>
          <w:r>
            <w:rPr>
              <w:rFonts w:hint="eastAsia" w:asciiTheme="minorEastAsia" w:hAnsiTheme="minorEastAsia" w:eastAsiaTheme="minorEastAsia" w:cstheme="minorEastAsia"/>
              <w:bCs/>
              <w:color w:val="auto"/>
              <w:sz w:val="28"/>
              <w:szCs w:val="28"/>
              <w:lang w:val="en-US" w:eastAsia="zh-CN"/>
            </w:rPr>
            <w:t xml:space="preserve"> 3</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太阳辐射现场观测站基本要求</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_Toc20597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F387F5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_Toc10673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5.</w:t>
          </w:r>
          <w:r>
            <w:rPr>
              <w:rFonts w:hint="eastAsia" w:asciiTheme="minorEastAsia" w:hAnsiTheme="minorEastAsia" w:eastAsiaTheme="minorEastAsia" w:cstheme="minorEastAsia"/>
              <w:bCs/>
              <w:color w:val="auto"/>
              <w:sz w:val="28"/>
              <w:szCs w:val="28"/>
              <w:lang w:val="en-US" w:eastAsia="zh-CN"/>
            </w:rPr>
            <w:t xml:space="preserve"> 4</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太阳辐射观测数据验证与资源分析</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_Toc10673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6C63505">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_Toc24232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highlight w:val="none"/>
              <w:lang w:val="en-US" w:eastAsia="zh-CN"/>
            </w:rPr>
            <w:t>6</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光伏发电系统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_Toc24232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8BDFAC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_Toc12396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w:t>
          </w:r>
          <w:r>
            <w:rPr>
              <w:rFonts w:hint="eastAsia" w:asciiTheme="minorEastAsia" w:hAnsiTheme="minorEastAsia" w:eastAsiaTheme="minorEastAsia" w:cstheme="minorEastAsia"/>
              <w:bCs/>
              <w:color w:val="auto"/>
              <w:sz w:val="28"/>
              <w:szCs w:val="28"/>
              <w:lang w:eastAsia="zh-CN"/>
            </w:rPr>
            <w:t>.</w:t>
          </w:r>
          <w:r>
            <w:rPr>
              <w:rFonts w:hint="eastAsia" w:asciiTheme="minorEastAsia" w:hAnsiTheme="minorEastAsia" w:eastAsiaTheme="minorEastAsia" w:cstheme="minorEastAsia"/>
              <w:bCs/>
              <w:color w:val="auto"/>
              <w:sz w:val="28"/>
              <w:szCs w:val="28"/>
              <w:lang w:val="en-US" w:eastAsia="zh-CN"/>
            </w:rPr>
            <w:t xml:space="preserve"> 1</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一般规定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_Toc12396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628C70E">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_Toc4374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w:t>
          </w:r>
          <w:r>
            <w:rPr>
              <w:rFonts w:hint="eastAsia" w:asciiTheme="minorEastAsia" w:hAnsiTheme="minorEastAsia" w:eastAsiaTheme="minorEastAsia" w:cstheme="minorEastAsia"/>
              <w:bCs/>
              <w:color w:val="auto"/>
              <w:sz w:val="28"/>
              <w:szCs w:val="28"/>
              <w:lang w:eastAsia="zh-CN"/>
            </w:rPr>
            <w:t>.</w:t>
          </w:r>
          <w:r>
            <w:rPr>
              <w:rFonts w:hint="eastAsia" w:asciiTheme="minorEastAsia" w:hAnsiTheme="minorEastAsia" w:eastAsiaTheme="minorEastAsia" w:cstheme="minorEastAsia"/>
              <w:bCs/>
              <w:color w:val="auto"/>
              <w:sz w:val="28"/>
              <w:szCs w:val="28"/>
              <w:lang w:val="en-US" w:eastAsia="zh-CN"/>
            </w:rPr>
            <w:t xml:space="preserve"> 2</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主要设备选择</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_Toc4374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4CE4C4E">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_Toc13675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w:t>
          </w:r>
          <w:r>
            <w:rPr>
              <w:rFonts w:hint="eastAsia" w:asciiTheme="minorEastAsia" w:hAnsiTheme="minorEastAsia" w:eastAsiaTheme="minorEastAsia" w:cstheme="minorEastAsia"/>
              <w:bCs/>
              <w:color w:val="auto"/>
              <w:sz w:val="28"/>
              <w:szCs w:val="28"/>
              <w:lang w:eastAsia="zh-CN"/>
            </w:rPr>
            <w:t>.</w:t>
          </w:r>
          <w:r>
            <w:rPr>
              <w:rFonts w:hint="eastAsia" w:asciiTheme="minorEastAsia" w:hAnsiTheme="minorEastAsia" w:eastAsiaTheme="minorEastAsia" w:cstheme="minorEastAsia"/>
              <w:bCs/>
              <w:color w:val="auto"/>
              <w:sz w:val="28"/>
              <w:szCs w:val="28"/>
              <w:lang w:val="en-US" w:eastAsia="zh-CN"/>
            </w:rPr>
            <w:t xml:space="preserve"> 3</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光伏方阵</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_Toc13675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E4C7394">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_Toc23777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w:t>
          </w:r>
          <w:r>
            <w:rPr>
              <w:rFonts w:hint="eastAsia" w:asciiTheme="minorEastAsia" w:hAnsiTheme="minorEastAsia" w:eastAsiaTheme="minorEastAsia" w:cstheme="minorEastAsia"/>
              <w:bCs/>
              <w:color w:val="auto"/>
              <w:sz w:val="28"/>
              <w:szCs w:val="28"/>
              <w:lang w:eastAsia="zh-CN"/>
            </w:rPr>
            <w:t>.</w:t>
          </w:r>
          <w:r>
            <w:rPr>
              <w:rFonts w:hint="eastAsia" w:asciiTheme="minorEastAsia" w:hAnsiTheme="minorEastAsia" w:eastAsiaTheme="minorEastAsia" w:cstheme="minorEastAsia"/>
              <w:bCs/>
              <w:color w:val="auto"/>
              <w:sz w:val="28"/>
              <w:szCs w:val="28"/>
              <w:lang w:val="en-US" w:eastAsia="zh-CN"/>
            </w:rPr>
            <w:t xml:space="preserve"> 4</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储能系统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_Toc23777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31E8998">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_Toc13003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w:t>
          </w:r>
          <w:r>
            <w:rPr>
              <w:rFonts w:hint="eastAsia" w:asciiTheme="minorEastAsia" w:hAnsiTheme="minorEastAsia" w:eastAsiaTheme="minorEastAsia" w:cstheme="minorEastAsia"/>
              <w:bCs/>
              <w:color w:val="auto"/>
              <w:sz w:val="28"/>
              <w:szCs w:val="28"/>
              <w:lang w:eastAsia="zh-CN"/>
            </w:rPr>
            <w:t>.</w:t>
          </w:r>
          <w:r>
            <w:rPr>
              <w:rFonts w:hint="eastAsia" w:asciiTheme="minorEastAsia" w:hAnsiTheme="minorEastAsia" w:eastAsiaTheme="minorEastAsia" w:cstheme="minorEastAsia"/>
              <w:bCs/>
              <w:color w:val="auto"/>
              <w:sz w:val="28"/>
              <w:szCs w:val="28"/>
              <w:lang w:val="en-US" w:eastAsia="zh-CN"/>
            </w:rPr>
            <w:t xml:space="preserve"> 5</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发电量计算</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_Toc13003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6C21C26">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_Toc28443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6. 6</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跟踪系统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_Toc28443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921C212">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_Toc22325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6. 7</w:t>
          </w:r>
          <w:r>
            <w:rPr>
              <w:rFonts w:hint="eastAsia" w:asciiTheme="minorEastAsia" w:hAnsiTheme="minorEastAsia" w:eastAsiaTheme="minorEastAsia" w:cstheme="minorEastAsia"/>
              <w:bCs/>
              <w:color w:val="auto"/>
              <w:kern w:val="44"/>
              <w:sz w:val="28"/>
              <w:szCs w:val="28"/>
            </w:rPr>
            <w:t>　</w:t>
          </w:r>
          <w:r>
            <w:rPr>
              <w:rFonts w:hint="eastAsia" w:asciiTheme="minorEastAsia" w:hAnsiTheme="minorEastAsia" w:eastAsiaTheme="minorEastAsia" w:cstheme="minorEastAsia"/>
              <w:color w:val="auto"/>
              <w:sz w:val="28"/>
              <w:szCs w:val="28"/>
              <w:lang w:eastAsia="zh-CN"/>
            </w:rPr>
            <w:t>光伏支架</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_Toc22325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CAF96C5">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_Toc564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6. 8</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光伏支架基础</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_Toc564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70C5684">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_Toc26625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7</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站区布置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_Toc26625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B93DA9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_Toc4139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7. 1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站区总平面布置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_Toc4139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E8607CD">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_Toc8494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7. 2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光伏方阵布置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_Toc8494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EB8CDF8">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_Toc20243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7. 3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道</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路</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_Toc20243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FF01BFD">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_Toc27210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7. 4</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站区安全防护设施</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_Toc27210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6E93765">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_Toc4835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    气</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_Toc4835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576AB02">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_Toc12170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一般规定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_Toc12170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730755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_Toc18097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highlight w:val="none"/>
              <w:lang w:eastAsia="zh-CN"/>
            </w:rPr>
            <w:t>变压器</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_Toc18097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AF851F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_Toc26775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电气主接线</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_Toc26775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E28BAD2">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_Toc192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8. 4</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站用电系统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_Toc192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12E45A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_Toc25317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8. 5</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直流电源系统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_Toc25317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630F35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_Toc4108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8. 6</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配电装置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_Toc4108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5AB53DF">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_Toc21380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8. 7</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无功补偿装置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_Toc21380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0EFD65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_Toc5951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8. 8</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电气二次</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_Toc5951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FFE8E30">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_Toc5334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8. 9</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过电压保护和接地</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_Toc5334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2C01A8E">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_Toc10283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8. 10</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电缆选择与敷设</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_Toc10283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E614AB2">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_Toc22155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接入系统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_Toc22155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5002317A">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_Toc11330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一般规定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_Toc11330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5E1C2E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_Toc31432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并网要求</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_Toc31432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19FA275">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_Toc2468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继电保护</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_Toc2468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D5EB0EF">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_Toc29047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9. 4</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自动化</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_Toc29047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2E367FA">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_Toc12726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9. 5</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通</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信</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_Toc12726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5F181B8">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_Toc11013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9. 6</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电能计量</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_Toc11013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713F9D6">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_Toc28002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10</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建筑与结构</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_Toc28002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12394DB9">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_Toc17947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10. 1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建</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筑</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_Toc17947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ED1CDFD">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_Toc7283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10. 2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highlight w:val="none"/>
              <w:lang w:eastAsia="zh-CN"/>
            </w:rPr>
            <w:t>结</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highlight w:val="none"/>
              <w:lang w:eastAsia="zh-CN"/>
            </w:rPr>
            <w:t>构</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_Toc7283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2EA4E03">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_Toc30740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给排水、暖通与空调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_Toc30740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0415971">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_Toc2213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11. 1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给排水</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_Toc2213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C0F3126">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_Toc28227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11. 2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暖通与空调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_Toc28227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8E25991">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_Toc12899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消    防</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_Toc12899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9249D0B">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_Toc5701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建（构）筑物火灾防护</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_Toc5701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6E432C6">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_Toc27722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预制舱火灾防护</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_Toc27722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B4AA97C">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_Toc28139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变压器及其他带油电气设备</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_Toc28139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045D8B44">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_Toc999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12. 4</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电</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lang w:eastAsia="zh-CN"/>
            </w:rPr>
            <w:t>缆</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_Toc999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46DBD31">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_Toc16266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12. 5</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消防给水、灭火设施及火灾自动报警</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_Toc16266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73089BF">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_Toc26957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12. 6</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消防供电及应急照明</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_Toc26957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B0D9B32">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_Toc5551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环境保护与水土保持</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_Toc5551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0D1F5B7">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_Toc5238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13. 1</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一般规定</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_Toc5238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5AF8A14">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_Toc18824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13. 2</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环境保护</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_Toc18824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1BC4A4CE">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_Toc7820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13. 3</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水土保持</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_Toc7820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4ED901D">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_Toc27011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val="en-US" w:eastAsia="zh-CN"/>
            </w:rPr>
            <w:t>14</w:t>
          </w:r>
          <w:r>
            <w:rPr>
              <w:rFonts w:hint="eastAsia" w:asciiTheme="minorEastAsia" w:hAnsiTheme="minorEastAsia" w:eastAsiaTheme="minorEastAsia" w:cstheme="minorEastAsia"/>
              <w:color w:val="auto"/>
              <w:sz w:val="28"/>
              <w:szCs w:val="28"/>
            </w:rPr>
            <w:t>　</w:t>
          </w:r>
          <w:r>
            <w:rPr>
              <w:rFonts w:hint="eastAsia" w:asciiTheme="minorEastAsia" w:hAnsiTheme="minorEastAsia" w:eastAsiaTheme="minorEastAsia" w:cstheme="minorEastAsia"/>
              <w:color w:val="auto"/>
              <w:sz w:val="28"/>
              <w:szCs w:val="28"/>
              <w:lang w:eastAsia="zh-CN"/>
            </w:rPr>
            <w:t>劳动安全与职业健康</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_Toc27011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98E98C7">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_Toc30344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color w:val="auto"/>
              <w:sz w:val="28"/>
              <w:szCs w:val="28"/>
            </w:rPr>
            <w:t>本标准用词说明</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_Toc30344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7EBFF2A7">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_Toc25070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color w:val="auto"/>
              <w:sz w:val="28"/>
              <w:szCs w:val="28"/>
            </w:rPr>
            <w:t>引用标准名录</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_Toc25070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509AB78">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_Toc5070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snapToGrid w:val="0"/>
              <w:color w:val="auto"/>
              <w:kern w:val="0"/>
              <w:sz w:val="28"/>
              <w:szCs w:val="28"/>
            </w:rPr>
            <w:t>条文说明</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_Toc5070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64FFA84E">
          <w:pPr>
            <w:pStyle w:val="16"/>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_Toc24484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w:t>
          </w:r>
          <w:r>
            <w:rPr>
              <w:rFonts w:hint="eastAsia" w:asciiTheme="minorEastAsia" w:hAnsiTheme="minorEastAsia" w:eastAsiaTheme="minorEastAsia" w:cstheme="minorEastAsia"/>
              <w:color w:val="auto"/>
              <w:sz w:val="28"/>
              <w:szCs w:val="28"/>
              <w:lang w:eastAsia="zh-CN"/>
            </w:rPr>
            <w:t>　光伏发电系统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_Toc24484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56745A2">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_Toc24242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6. 2</w:t>
          </w:r>
          <w:r>
            <w:rPr>
              <w:rFonts w:hint="eastAsia" w:asciiTheme="minorEastAsia" w:hAnsiTheme="minorEastAsia" w:eastAsiaTheme="minorEastAsia" w:cstheme="minorEastAsia"/>
              <w:color w:val="auto"/>
              <w:sz w:val="28"/>
              <w:szCs w:val="28"/>
              <w:lang w:eastAsia="zh-CN"/>
            </w:rPr>
            <w:t>　主要设备选择</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_Toc24242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2D869960">
          <w:pPr>
            <w:pStyle w:val="17"/>
            <w:tabs>
              <w:tab w:val="right" w:leader="dot" w:pos="9072"/>
            </w:tabs>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_Toc25862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6. 5</w:t>
          </w:r>
          <w:r>
            <w:rPr>
              <w:rFonts w:hint="eastAsia" w:asciiTheme="minorEastAsia" w:hAnsiTheme="minorEastAsia" w:eastAsiaTheme="minorEastAsia" w:cstheme="minorEastAsia"/>
              <w:color w:val="auto"/>
              <w:sz w:val="28"/>
              <w:szCs w:val="28"/>
              <w:lang w:eastAsia="zh-CN"/>
            </w:rPr>
            <w:t>　发电量计算</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_Toc25862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49211648">
          <w:pPr>
            <w:pStyle w:val="17"/>
            <w:tabs>
              <w:tab w:val="right" w:leader="dot" w:pos="9072"/>
            </w:tabs>
            <w:rPr>
              <w:color w:val="auto"/>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_Toc1539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6. 7</w:t>
          </w:r>
          <w:r>
            <w:rPr>
              <w:rFonts w:hint="eastAsia" w:asciiTheme="minorEastAsia" w:hAnsiTheme="minorEastAsia" w:eastAsiaTheme="minorEastAsia" w:cstheme="minorEastAsia"/>
              <w:color w:val="auto"/>
              <w:sz w:val="28"/>
              <w:szCs w:val="28"/>
              <w:lang w:eastAsia="zh-CN"/>
            </w:rPr>
            <w:t>　光伏支架</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_Toc1539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p>
        <w:p w14:paraId="398082EC">
          <w:pPr>
            <w:spacing w:before="0" w:beforeLines="0" w:after="0" w:afterLines="0" w:line="240" w:lineRule="auto"/>
            <w:ind w:left="0" w:leftChars="0" w:right="0" w:rightChars="0" w:firstLine="0" w:firstLineChars="0"/>
            <w:jc w:val="center"/>
            <w:outlineLvl w:val="9"/>
            <w:rPr>
              <w:rFonts w:hint="default" w:ascii="Times New Roman" w:hAnsi="Times New Roman" w:eastAsia="宋体" w:cs="Times New Roman"/>
              <w:b/>
              <w:snapToGrid w:val="0"/>
              <w:color w:val="auto"/>
              <w:sz w:val="32"/>
              <w:szCs w:val="40"/>
              <w:highlight w:val="none"/>
              <w:lang w:val="en-US" w:eastAsia="zh-CN" w:bidi="ar-SA"/>
            </w:rPr>
          </w:pPr>
          <w:r>
            <w:rPr>
              <w:rFonts w:hint="default" w:ascii="Times New Roman" w:hAnsi="Times New Roman" w:eastAsia="宋体" w:cs="Times New Roman"/>
              <w:snapToGrid w:val="0"/>
              <w:color w:val="auto"/>
              <w:szCs w:val="40"/>
              <w:highlight w:val="none"/>
              <w:lang w:val="en-US" w:eastAsia="zh-CN" w:bidi="ar-SA"/>
            </w:rPr>
            <w:fldChar w:fldCharType="end"/>
          </w:r>
        </w:p>
      </w:sdtContent>
    </w:sdt>
    <w:p w14:paraId="2581F2D1">
      <w:pPr>
        <w:spacing w:before="0" w:beforeLines="0" w:after="0" w:afterLines="0" w:line="240" w:lineRule="auto"/>
        <w:ind w:left="0" w:leftChars="0" w:right="0" w:rightChars="0" w:firstLine="0" w:firstLineChars="0"/>
        <w:jc w:val="center"/>
        <w:outlineLvl w:val="9"/>
        <w:rPr>
          <w:rFonts w:hint="default" w:ascii="Times New Roman" w:hAnsi="Times New Roman" w:eastAsia="宋体" w:cs="Times New Roman"/>
          <w:b/>
          <w:snapToGrid w:val="0"/>
          <w:color w:val="auto"/>
          <w:sz w:val="32"/>
          <w:szCs w:val="40"/>
          <w:highlight w:val="none"/>
          <w:lang w:val="en-US" w:eastAsia="zh-CN" w:bidi="ar-SA"/>
        </w:rPr>
      </w:pPr>
    </w:p>
    <w:p w14:paraId="3000300F">
      <w:pPr>
        <w:pageBreakBefore w:val="0"/>
        <w:widowControl w:val="0"/>
        <w:topLinePunct w:val="0"/>
        <w:bidi w:val="0"/>
        <w:jc w:val="both"/>
        <w:rPr>
          <w:rFonts w:ascii="Times New Roman" w:hAnsi="Times New Roman" w:eastAsia="Times New Roman" w:cs="Times New Roman"/>
          <w:color w:val="auto"/>
          <w:sz w:val="20"/>
          <w:szCs w:val="20"/>
          <w:highlight w:val="none"/>
        </w:rPr>
        <w:sectPr>
          <w:footerReference r:id="rId7" w:type="default"/>
          <w:pgSz w:w="11906" w:h="16838"/>
          <w:pgMar w:top="1440" w:right="1531" w:bottom="1440" w:left="1531" w:header="0" w:footer="959" w:gutter="0"/>
          <w:cols w:space="720" w:num="1"/>
        </w:sectPr>
      </w:pPr>
    </w:p>
    <w:p w14:paraId="2B33791C">
      <w:pPr>
        <w:pStyle w:val="30"/>
        <w:pageBreakBefore w:val="0"/>
        <w:widowControl w:val="0"/>
        <w:topLinePunct w:val="0"/>
        <w:bidi w:val="0"/>
        <w:outlineLvl w:val="0"/>
        <w:rPr>
          <w:color w:val="auto"/>
          <w:lang w:eastAsia="zh-CN"/>
        </w:rPr>
      </w:pPr>
      <w:bookmarkStart w:id="2" w:name="_Toc3100"/>
      <w:bookmarkStart w:id="3" w:name="_Toc6646"/>
      <w:bookmarkStart w:id="4" w:name="_Toc18000"/>
      <w:bookmarkStart w:id="5" w:name="_Toc8633"/>
      <w:r>
        <w:rPr>
          <w:rFonts w:hint="eastAsia"/>
          <w:b/>
          <w:bCs/>
          <w:color w:val="auto"/>
          <w:lang w:val="en-US" w:eastAsia="zh-CN"/>
        </w:rPr>
        <w:t>1</w:t>
      </w:r>
      <w:r>
        <w:rPr>
          <w:rFonts w:hint="eastAsia" w:ascii="宋体" w:hAnsi="宋体" w:cs="宋体"/>
          <w:bCs/>
          <w:color w:val="auto"/>
          <w:kern w:val="44"/>
          <w:szCs w:val="44"/>
        </w:rPr>
        <w:t>　</w:t>
      </w:r>
      <w:r>
        <w:rPr>
          <w:rFonts w:hint="eastAsia"/>
          <w:color w:val="auto"/>
          <w:lang w:eastAsia="zh-CN"/>
        </w:rPr>
        <w:t>总    则</w:t>
      </w:r>
      <w:bookmarkEnd w:id="2"/>
      <w:bookmarkEnd w:id="3"/>
      <w:bookmarkEnd w:id="4"/>
      <w:bookmarkEnd w:id="5"/>
    </w:p>
    <w:p w14:paraId="1A818803">
      <w:pPr>
        <w:pStyle w:val="29"/>
        <w:pageBreakBefore w:val="0"/>
        <w:widowControl w:val="0"/>
        <w:topLinePunct w:val="0"/>
        <w:bidi w:val="0"/>
        <w:rPr>
          <w:color w:val="auto"/>
          <w:lang w:eastAsia="zh-CN"/>
        </w:rPr>
      </w:pPr>
      <w:r>
        <w:rPr>
          <w:rFonts w:hint="default"/>
          <w:b/>
          <w:bCs/>
          <w:color w:val="auto"/>
          <w:lang w:eastAsia="zh-CN"/>
        </w:rPr>
        <w:t>1.</w:t>
      </w:r>
      <w:r>
        <w:rPr>
          <w:rFonts w:hint="eastAsia"/>
          <w:b/>
          <w:bCs/>
          <w:color w:val="auto"/>
          <w:lang w:val="en-US" w:eastAsia="zh-CN"/>
        </w:rPr>
        <w:t xml:space="preserve"> </w:t>
      </w:r>
      <w:r>
        <w:rPr>
          <w:rFonts w:hint="default"/>
          <w:b/>
          <w:bCs/>
          <w:color w:val="auto"/>
          <w:lang w:eastAsia="zh-CN"/>
        </w:rPr>
        <w:t>0.</w:t>
      </w:r>
      <w:r>
        <w:rPr>
          <w:rFonts w:hint="eastAsia"/>
          <w:b/>
          <w:bCs/>
          <w:color w:val="auto"/>
          <w:lang w:val="en-US" w:eastAsia="zh-CN"/>
        </w:rPr>
        <w:t xml:space="preserve"> </w:t>
      </w:r>
      <w:r>
        <w:rPr>
          <w:rFonts w:hint="default"/>
          <w:b/>
          <w:bCs/>
          <w:color w:val="auto"/>
          <w:lang w:eastAsia="zh-CN"/>
        </w:rPr>
        <w:t>1</w:t>
      </w:r>
      <w:r>
        <w:rPr>
          <w:rFonts w:hint="eastAsia" w:eastAsiaTheme="minorEastAsia" w:cstheme="minorBidi"/>
          <w:color w:val="auto"/>
          <w:kern w:val="2"/>
          <w:szCs w:val="24"/>
        </w:rPr>
        <w:t>　</w:t>
      </w:r>
      <w:r>
        <w:rPr>
          <w:rFonts w:hint="eastAsia"/>
          <w:color w:val="auto"/>
          <w:lang w:eastAsia="zh-CN"/>
        </w:rPr>
        <w:t>为推动云南省太阳能光伏发电</w:t>
      </w:r>
      <w:r>
        <w:rPr>
          <w:rFonts w:hint="eastAsia"/>
          <w:color w:val="auto"/>
          <w:lang w:val="en-US" w:eastAsia="zh-CN"/>
        </w:rPr>
        <w:t>行业</w:t>
      </w:r>
      <w:r>
        <w:rPr>
          <w:rFonts w:hint="eastAsia"/>
          <w:color w:val="auto"/>
          <w:lang w:eastAsia="zh-CN"/>
        </w:rPr>
        <w:t>健康、有序发展，充分利用太阳能资源，建立安全的能源供应体系，规范太阳能光伏发电工程的设计，确保工程建设质量及系统安全运行，制定本标准。</w:t>
      </w:r>
    </w:p>
    <w:p w14:paraId="63329967">
      <w:pPr>
        <w:pStyle w:val="29"/>
        <w:pageBreakBefore w:val="0"/>
        <w:widowControl w:val="0"/>
        <w:topLinePunct w:val="0"/>
        <w:bidi w:val="0"/>
        <w:rPr>
          <w:rFonts w:hint="eastAsia"/>
          <w:color w:val="auto"/>
          <w:lang w:eastAsia="zh-CN"/>
        </w:rPr>
      </w:pPr>
      <w:r>
        <w:rPr>
          <w:rFonts w:hint="eastAsia"/>
          <w:b/>
          <w:bCs/>
          <w:color w:val="auto"/>
          <w:lang w:eastAsia="zh-CN"/>
        </w:rPr>
        <w:t>1.</w:t>
      </w:r>
      <w:r>
        <w:rPr>
          <w:rFonts w:hint="eastAsia"/>
          <w:b/>
          <w:bCs/>
          <w:color w:val="auto"/>
          <w:lang w:val="en-US" w:eastAsia="zh-CN"/>
        </w:rPr>
        <w:t xml:space="preserve"> </w:t>
      </w:r>
      <w:r>
        <w:rPr>
          <w:rFonts w:hint="eastAsia"/>
          <w:b/>
          <w:bCs/>
          <w:color w:val="auto"/>
          <w:lang w:eastAsia="zh-CN"/>
        </w:rPr>
        <w:t>0.</w:t>
      </w:r>
      <w:r>
        <w:rPr>
          <w:rFonts w:hint="eastAsia"/>
          <w:b/>
          <w:bCs/>
          <w:color w:val="auto"/>
          <w:lang w:val="en-US" w:eastAsia="zh-CN"/>
        </w:rPr>
        <w:t xml:space="preserve"> </w:t>
      </w:r>
      <w:r>
        <w:rPr>
          <w:rFonts w:hint="eastAsia"/>
          <w:b/>
          <w:bCs/>
          <w:color w:val="auto"/>
          <w:lang w:eastAsia="zh-CN"/>
        </w:rPr>
        <w:t>2</w:t>
      </w:r>
      <w:r>
        <w:rPr>
          <w:rFonts w:hint="eastAsia" w:eastAsiaTheme="minorEastAsia" w:cstheme="minorBidi"/>
          <w:color w:val="auto"/>
          <w:kern w:val="2"/>
          <w:szCs w:val="24"/>
        </w:rPr>
        <w:t>　</w:t>
      </w:r>
      <w:r>
        <w:rPr>
          <w:rFonts w:hint="eastAsia"/>
          <w:color w:val="auto"/>
          <w:lang w:eastAsia="zh-CN"/>
        </w:rPr>
        <w:t>本</w:t>
      </w:r>
      <w:r>
        <w:rPr>
          <w:rFonts w:hint="eastAsia"/>
          <w:color w:val="auto"/>
          <w:lang w:val="en-US" w:eastAsia="zh-CN"/>
        </w:rPr>
        <w:t>标准</w:t>
      </w:r>
      <w:r>
        <w:rPr>
          <w:rFonts w:hint="eastAsia"/>
          <w:color w:val="auto"/>
          <w:lang w:eastAsia="zh-CN"/>
        </w:rPr>
        <w:t>适用于</w:t>
      </w:r>
      <w:r>
        <w:rPr>
          <w:rFonts w:hint="eastAsia"/>
          <w:color w:val="auto"/>
          <w:lang w:val="en-US" w:eastAsia="zh-CN"/>
        </w:rPr>
        <w:t>云南省</w:t>
      </w:r>
      <w:r>
        <w:rPr>
          <w:rFonts w:hint="eastAsia"/>
          <w:color w:val="auto"/>
          <w:lang w:eastAsia="zh-CN"/>
        </w:rPr>
        <w:t>新建、扩建和改建的</w:t>
      </w:r>
      <w:r>
        <w:rPr>
          <w:rFonts w:hint="eastAsia"/>
          <w:color w:val="auto"/>
          <w:lang w:val="en-US" w:eastAsia="zh-CN"/>
        </w:rPr>
        <w:t>中型及以上</w:t>
      </w:r>
      <w:r>
        <w:rPr>
          <w:rFonts w:hint="eastAsia"/>
          <w:color w:val="auto"/>
          <w:lang w:eastAsia="zh-CN"/>
        </w:rPr>
        <w:t>并网型山地光伏</w:t>
      </w:r>
      <w:r>
        <w:rPr>
          <w:rFonts w:hint="eastAsia"/>
          <w:color w:val="auto"/>
          <w:lang w:val="en-US" w:eastAsia="zh-CN"/>
        </w:rPr>
        <w:t>电站</w:t>
      </w:r>
      <w:r>
        <w:rPr>
          <w:rFonts w:hint="eastAsia"/>
          <w:color w:val="auto"/>
          <w:lang w:eastAsia="zh-CN"/>
        </w:rPr>
        <w:t>的设计。离网型山地光伏</w:t>
      </w:r>
      <w:r>
        <w:rPr>
          <w:rFonts w:hint="eastAsia"/>
          <w:color w:val="auto"/>
          <w:lang w:val="en-US" w:eastAsia="zh-CN"/>
        </w:rPr>
        <w:t>电站</w:t>
      </w:r>
      <w:r>
        <w:rPr>
          <w:rFonts w:hint="eastAsia"/>
          <w:color w:val="auto"/>
          <w:lang w:eastAsia="zh-CN"/>
        </w:rPr>
        <w:t>可参照执行。</w:t>
      </w:r>
    </w:p>
    <w:p w14:paraId="6B61B42C">
      <w:pPr>
        <w:pStyle w:val="29"/>
        <w:pageBreakBefore w:val="0"/>
        <w:widowControl w:val="0"/>
        <w:topLinePunct w:val="0"/>
        <w:bidi w:val="0"/>
        <w:rPr>
          <w:rFonts w:hint="eastAsia"/>
          <w:color w:val="auto"/>
          <w:lang w:eastAsia="zh-CN"/>
        </w:rPr>
      </w:pPr>
      <w:r>
        <w:rPr>
          <w:rFonts w:hint="eastAsia"/>
          <w:b/>
          <w:bCs/>
          <w:color w:val="auto"/>
          <w:lang w:eastAsia="zh-CN"/>
        </w:rPr>
        <w:t>1.</w:t>
      </w:r>
      <w:r>
        <w:rPr>
          <w:rFonts w:hint="eastAsia"/>
          <w:b/>
          <w:bCs/>
          <w:color w:val="auto"/>
          <w:lang w:val="en-US" w:eastAsia="zh-CN"/>
        </w:rPr>
        <w:t xml:space="preserve"> </w:t>
      </w:r>
      <w:r>
        <w:rPr>
          <w:rFonts w:hint="eastAsia"/>
          <w:b/>
          <w:bCs/>
          <w:color w:val="auto"/>
          <w:lang w:eastAsia="zh-CN"/>
        </w:rPr>
        <w:t>0.</w:t>
      </w:r>
      <w:r>
        <w:rPr>
          <w:rFonts w:hint="eastAsia"/>
          <w:b/>
          <w:bCs/>
          <w:color w:val="auto"/>
          <w:lang w:val="en-US" w:eastAsia="zh-CN"/>
        </w:rPr>
        <w:t xml:space="preserve"> 3</w:t>
      </w:r>
      <w:r>
        <w:rPr>
          <w:rFonts w:hint="eastAsia" w:eastAsiaTheme="minorEastAsia" w:cstheme="minorBidi"/>
          <w:color w:val="auto"/>
          <w:kern w:val="2"/>
          <w:szCs w:val="24"/>
        </w:rPr>
        <w:t>　</w:t>
      </w:r>
      <w:r>
        <w:rPr>
          <w:rFonts w:hint="eastAsia"/>
          <w:color w:val="auto"/>
          <w:lang w:eastAsia="zh-CN"/>
        </w:rPr>
        <w:t>山地光伏电站的设计，除应符合本标准外，尚应符合国家、行业及云南省现行有关标准的规定。</w:t>
      </w:r>
    </w:p>
    <w:p w14:paraId="17A00F66">
      <w:pPr>
        <w:pStyle w:val="29"/>
        <w:pageBreakBefore w:val="0"/>
        <w:widowControl w:val="0"/>
        <w:topLinePunct w:val="0"/>
        <w:bidi w:val="0"/>
        <w:jc w:val="both"/>
        <w:rPr>
          <w:rFonts w:hint="eastAsia" w:ascii="仿宋" w:hAnsi="仿宋" w:eastAsia="仿宋" w:cs="仿宋"/>
          <w:color w:val="auto"/>
          <w:highlight w:val="none"/>
          <w:lang w:eastAsia="zh-CN"/>
        </w:rPr>
      </w:pPr>
    </w:p>
    <w:p w14:paraId="280C942D">
      <w:pPr>
        <w:pStyle w:val="29"/>
        <w:pageBreakBefore w:val="0"/>
        <w:widowControl w:val="0"/>
        <w:topLinePunct w:val="0"/>
        <w:bidi w:val="0"/>
        <w:jc w:val="both"/>
        <w:rPr>
          <w:rFonts w:hint="eastAsia" w:ascii="仿宋" w:hAnsi="仿宋" w:eastAsia="仿宋" w:cs="仿宋"/>
          <w:color w:val="auto"/>
          <w:highlight w:val="none"/>
          <w:lang w:eastAsia="zh-CN"/>
        </w:rPr>
      </w:pPr>
    </w:p>
    <w:p w14:paraId="6C221B97">
      <w:pPr>
        <w:pStyle w:val="29"/>
        <w:pageBreakBefore w:val="0"/>
        <w:widowControl w:val="0"/>
        <w:topLinePunct w:val="0"/>
        <w:bidi w:val="0"/>
        <w:jc w:val="both"/>
        <w:rPr>
          <w:rFonts w:hint="eastAsia" w:ascii="仿宋" w:hAnsi="仿宋" w:eastAsia="仿宋" w:cs="仿宋"/>
          <w:color w:val="auto"/>
          <w:highlight w:val="none"/>
          <w:lang w:eastAsia="zh-CN"/>
        </w:rPr>
      </w:pPr>
    </w:p>
    <w:p w14:paraId="353A3D35">
      <w:pPr>
        <w:pStyle w:val="29"/>
        <w:pageBreakBefore w:val="0"/>
        <w:widowControl w:val="0"/>
        <w:topLinePunct w:val="0"/>
        <w:bidi w:val="0"/>
        <w:jc w:val="both"/>
        <w:rPr>
          <w:rFonts w:hint="eastAsia" w:ascii="仿宋" w:hAnsi="仿宋" w:eastAsia="仿宋" w:cs="仿宋"/>
          <w:color w:val="auto"/>
          <w:highlight w:val="none"/>
          <w:lang w:eastAsia="zh-CN"/>
        </w:rPr>
      </w:pPr>
    </w:p>
    <w:p w14:paraId="32EC34DB">
      <w:pPr>
        <w:pStyle w:val="29"/>
        <w:pageBreakBefore w:val="0"/>
        <w:widowControl w:val="0"/>
        <w:topLinePunct w:val="0"/>
        <w:bidi w:val="0"/>
        <w:jc w:val="both"/>
        <w:rPr>
          <w:rFonts w:hint="eastAsia" w:ascii="仿宋" w:hAnsi="仿宋" w:eastAsia="仿宋" w:cs="仿宋"/>
          <w:color w:val="auto"/>
          <w:highlight w:val="none"/>
          <w:lang w:eastAsia="zh-CN"/>
        </w:rPr>
      </w:pPr>
    </w:p>
    <w:p w14:paraId="747CDF50">
      <w:pPr>
        <w:pStyle w:val="29"/>
        <w:pageBreakBefore w:val="0"/>
        <w:widowControl w:val="0"/>
        <w:topLinePunct w:val="0"/>
        <w:bidi w:val="0"/>
        <w:jc w:val="both"/>
        <w:rPr>
          <w:rFonts w:hint="eastAsia" w:ascii="仿宋" w:hAnsi="仿宋" w:eastAsia="仿宋" w:cs="仿宋"/>
          <w:color w:val="auto"/>
          <w:highlight w:val="none"/>
          <w:lang w:eastAsia="zh-CN"/>
        </w:rPr>
      </w:pPr>
    </w:p>
    <w:p w14:paraId="04558EB5">
      <w:pPr>
        <w:pStyle w:val="29"/>
        <w:pageBreakBefore w:val="0"/>
        <w:widowControl w:val="0"/>
        <w:topLinePunct w:val="0"/>
        <w:bidi w:val="0"/>
        <w:jc w:val="both"/>
        <w:rPr>
          <w:rFonts w:hint="eastAsia" w:ascii="仿宋" w:hAnsi="仿宋" w:eastAsia="仿宋" w:cs="仿宋"/>
          <w:color w:val="auto"/>
          <w:highlight w:val="none"/>
          <w:lang w:eastAsia="zh-CN"/>
        </w:rPr>
      </w:pPr>
    </w:p>
    <w:p w14:paraId="5DFFB814">
      <w:pPr>
        <w:pStyle w:val="29"/>
        <w:pageBreakBefore w:val="0"/>
        <w:widowControl w:val="0"/>
        <w:topLinePunct w:val="0"/>
        <w:bidi w:val="0"/>
        <w:jc w:val="both"/>
        <w:rPr>
          <w:rFonts w:hint="eastAsia" w:ascii="仿宋" w:hAnsi="仿宋" w:eastAsia="仿宋" w:cs="仿宋"/>
          <w:color w:val="auto"/>
          <w:highlight w:val="none"/>
          <w:lang w:eastAsia="zh-CN"/>
        </w:rPr>
      </w:pPr>
    </w:p>
    <w:p w14:paraId="2A1ADA87">
      <w:pPr>
        <w:pStyle w:val="29"/>
        <w:pageBreakBefore w:val="0"/>
        <w:widowControl w:val="0"/>
        <w:topLinePunct w:val="0"/>
        <w:bidi w:val="0"/>
        <w:jc w:val="both"/>
        <w:rPr>
          <w:rFonts w:hint="eastAsia" w:ascii="仿宋" w:hAnsi="仿宋" w:eastAsia="仿宋" w:cs="仿宋"/>
          <w:color w:val="auto"/>
          <w:highlight w:val="none"/>
          <w:lang w:eastAsia="zh-CN"/>
        </w:rPr>
      </w:pPr>
    </w:p>
    <w:p w14:paraId="00BB5994">
      <w:pPr>
        <w:pStyle w:val="29"/>
        <w:pageBreakBefore w:val="0"/>
        <w:widowControl w:val="0"/>
        <w:topLinePunct w:val="0"/>
        <w:bidi w:val="0"/>
        <w:jc w:val="both"/>
        <w:rPr>
          <w:rFonts w:hint="eastAsia" w:ascii="仿宋" w:hAnsi="仿宋" w:eastAsia="仿宋" w:cs="仿宋"/>
          <w:color w:val="auto"/>
          <w:highlight w:val="none"/>
          <w:lang w:eastAsia="zh-CN"/>
        </w:rPr>
      </w:pPr>
    </w:p>
    <w:p w14:paraId="494499F5">
      <w:pPr>
        <w:pStyle w:val="29"/>
        <w:pageBreakBefore w:val="0"/>
        <w:widowControl w:val="0"/>
        <w:topLinePunct w:val="0"/>
        <w:bidi w:val="0"/>
        <w:jc w:val="both"/>
        <w:rPr>
          <w:rFonts w:hint="eastAsia" w:ascii="仿宋" w:hAnsi="仿宋" w:eastAsia="仿宋" w:cs="仿宋"/>
          <w:color w:val="auto"/>
          <w:highlight w:val="none"/>
          <w:lang w:eastAsia="zh-CN"/>
        </w:rPr>
      </w:pPr>
    </w:p>
    <w:p w14:paraId="0B4D69D9">
      <w:pPr>
        <w:pStyle w:val="29"/>
        <w:pageBreakBefore w:val="0"/>
        <w:widowControl w:val="0"/>
        <w:topLinePunct w:val="0"/>
        <w:bidi w:val="0"/>
        <w:jc w:val="both"/>
        <w:rPr>
          <w:rFonts w:hint="eastAsia" w:ascii="仿宋" w:hAnsi="仿宋" w:eastAsia="仿宋" w:cs="仿宋"/>
          <w:color w:val="auto"/>
          <w:highlight w:val="none"/>
          <w:lang w:eastAsia="zh-CN"/>
        </w:rPr>
      </w:pPr>
    </w:p>
    <w:p w14:paraId="5E9E1733">
      <w:pPr>
        <w:pStyle w:val="29"/>
        <w:pageBreakBefore w:val="0"/>
        <w:widowControl w:val="0"/>
        <w:topLinePunct w:val="0"/>
        <w:bidi w:val="0"/>
        <w:jc w:val="both"/>
        <w:rPr>
          <w:rFonts w:hint="eastAsia" w:ascii="仿宋" w:hAnsi="仿宋" w:eastAsia="仿宋" w:cs="仿宋"/>
          <w:color w:val="auto"/>
          <w:highlight w:val="none"/>
          <w:lang w:eastAsia="zh-CN"/>
        </w:rPr>
      </w:pPr>
    </w:p>
    <w:p w14:paraId="50DB9EC6">
      <w:pPr>
        <w:pStyle w:val="29"/>
        <w:pageBreakBefore w:val="0"/>
        <w:widowControl w:val="0"/>
        <w:topLinePunct w:val="0"/>
        <w:bidi w:val="0"/>
        <w:jc w:val="both"/>
        <w:rPr>
          <w:rFonts w:hint="eastAsia" w:ascii="仿宋" w:hAnsi="仿宋" w:eastAsia="仿宋" w:cs="仿宋"/>
          <w:color w:val="auto"/>
          <w:highlight w:val="none"/>
          <w:lang w:eastAsia="zh-CN"/>
        </w:rPr>
      </w:pPr>
    </w:p>
    <w:p w14:paraId="68077A7D">
      <w:pPr>
        <w:pStyle w:val="29"/>
        <w:pageBreakBefore w:val="0"/>
        <w:widowControl w:val="0"/>
        <w:topLinePunct w:val="0"/>
        <w:bidi w:val="0"/>
        <w:jc w:val="both"/>
        <w:rPr>
          <w:rFonts w:hint="eastAsia" w:ascii="仿宋" w:hAnsi="仿宋" w:eastAsia="仿宋" w:cs="仿宋"/>
          <w:color w:val="auto"/>
          <w:highlight w:val="none"/>
          <w:lang w:eastAsia="zh-CN"/>
        </w:rPr>
      </w:pPr>
    </w:p>
    <w:p w14:paraId="677EF504">
      <w:pPr>
        <w:pStyle w:val="29"/>
        <w:pageBreakBefore w:val="0"/>
        <w:widowControl w:val="0"/>
        <w:topLinePunct w:val="0"/>
        <w:bidi w:val="0"/>
        <w:jc w:val="both"/>
        <w:rPr>
          <w:rFonts w:hint="eastAsia" w:ascii="仿宋" w:hAnsi="仿宋" w:eastAsia="仿宋" w:cs="仿宋"/>
          <w:color w:val="auto"/>
          <w:highlight w:val="none"/>
          <w:lang w:eastAsia="zh-CN"/>
        </w:rPr>
      </w:pPr>
    </w:p>
    <w:p w14:paraId="2A1CEAC7">
      <w:pPr>
        <w:pStyle w:val="30"/>
        <w:keepNext w:val="0"/>
        <w:keepLines w:val="0"/>
        <w:pageBreakBefore w:val="0"/>
        <w:widowControl w:val="0"/>
        <w:kinsoku w:val="0"/>
        <w:wordWrap/>
        <w:overflowPunct/>
        <w:topLinePunct w:val="0"/>
        <w:autoSpaceDE/>
        <w:autoSpaceDN/>
        <w:bidi w:val="0"/>
        <w:adjustRightInd w:val="0"/>
        <w:snapToGrid w:val="0"/>
        <w:spacing w:before="0" w:beforeLines="0"/>
        <w:textAlignment w:val="baseline"/>
        <w:outlineLvl w:val="0"/>
        <w:rPr>
          <w:color w:val="auto"/>
          <w:lang w:eastAsia="zh-CN"/>
        </w:rPr>
      </w:pPr>
      <w:bookmarkStart w:id="6" w:name="bookmark144"/>
      <w:bookmarkEnd w:id="6"/>
      <w:bookmarkStart w:id="7" w:name="_Toc10229"/>
      <w:bookmarkStart w:id="8" w:name="_Toc17680"/>
      <w:bookmarkStart w:id="9" w:name="_Toc27248"/>
      <w:bookmarkStart w:id="10" w:name="_Toc6742"/>
      <w:r>
        <w:rPr>
          <w:rFonts w:hint="eastAsia"/>
          <w:b/>
          <w:bCs/>
          <w:color w:val="auto"/>
          <w:lang w:val="en-US" w:eastAsia="zh-CN"/>
        </w:rPr>
        <w:t>2</w:t>
      </w:r>
      <w:r>
        <w:rPr>
          <w:rFonts w:hint="eastAsia" w:ascii="宋体" w:hAnsi="宋体" w:cs="宋体"/>
          <w:bCs/>
          <w:color w:val="auto"/>
          <w:kern w:val="44"/>
          <w:szCs w:val="44"/>
        </w:rPr>
        <w:t>　</w:t>
      </w:r>
      <w:r>
        <w:rPr>
          <w:rFonts w:hint="eastAsia"/>
          <w:color w:val="auto"/>
          <w:lang w:eastAsia="zh-CN"/>
        </w:rPr>
        <w:t>术语</w:t>
      </w:r>
      <w:bookmarkEnd w:id="7"/>
      <w:r>
        <w:rPr>
          <w:rFonts w:hint="eastAsia"/>
          <w:color w:val="auto"/>
          <w:lang w:eastAsia="zh-CN"/>
        </w:rPr>
        <w:t>和符号</w:t>
      </w:r>
      <w:bookmarkEnd w:id="8"/>
      <w:bookmarkEnd w:id="9"/>
      <w:bookmarkEnd w:id="10"/>
    </w:p>
    <w:p w14:paraId="719B0F48">
      <w:pPr>
        <w:pStyle w:val="31"/>
        <w:keepNext w:val="0"/>
        <w:keepLines w:val="0"/>
        <w:pageBreakBefore w:val="0"/>
        <w:widowControl w:val="0"/>
        <w:kinsoku w:val="0"/>
        <w:wordWrap/>
        <w:overflowPunct/>
        <w:topLinePunct w:val="0"/>
        <w:autoSpaceDE/>
        <w:autoSpaceDN/>
        <w:bidi w:val="0"/>
        <w:adjustRightInd w:val="0"/>
        <w:snapToGrid w:val="0"/>
        <w:spacing w:before="0" w:beforeLines="100"/>
        <w:textAlignment w:val="baseline"/>
        <w:outlineLvl w:val="1"/>
        <w:rPr>
          <w:color w:val="auto"/>
          <w:lang w:eastAsia="zh-CN"/>
        </w:rPr>
      </w:pPr>
      <w:bookmarkStart w:id="11" w:name="_Toc22556"/>
      <w:bookmarkStart w:id="12" w:name="_Toc18337"/>
      <w:bookmarkStart w:id="13" w:name="_Toc10025"/>
      <w:bookmarkStart w:id="14" w:name="_Toc11052"/>
      <w:r>
        <w:rPr>
          <w:rFonts w:hint="eastAsia"/>
          <w:b/>
          <w:bCs/>
          <w:color w:val="auto"/>
          <w:lang w:val="en-US" w:eastAsia="zh-CN"/>
        </w:rPr>
        <w:t>1</w:t>
      </w:r>
      <w:r>
        <w:rPr>
          <w:rFonts w:hint="eastAsia"/>
          <w:color w:val="auto"/>
          <w:lang w:val="en-US" w:eastAsia="zh-CN"/>
        </w:rPr>
        <w:t xml:space="preserve">    </w:t>
      </w:r>
      <w:r>
        <w:rPr>
          <w:rFonts w:hint="eastAsia"/>
          <w:color w:val="auto"/>
          <w:lang w:eastAsia="zh-CN"/>
        </w:rPr>
        <w:t>术</w:t>
      </w:r>
      <w:r>
        <w:rPr>
          <w:rFonts w:hint="eastAsia"/>
          <w:color w:val="auto"/>
          <w:sz w:val="32"/>
          <w:szCs w:val="36"/>
          <w:lang w:val="en-US" w:eastAsia="zh-CN"/>
        </w:rPr>
        <w:t xml:space="preserve">     </w:t>
      </w:r>
      <w:r>
        <w:rPr>
          <w:rFonts w:hint="eastAsia"/>
          <w:color w:val="auto"/>
          <w:lang w:eastAsia="zh-CN"/>
        </w:rPr>
        <w:t>语</w:t>
      </w:r>
      <w:bookmarkEnd w:id="11"/>
      <w:bookmarkEnd w:id="12"/>
      <w:bookmarkEnd w:id="13"/>
      <w:bookmarkEnd w:id="14"/>
    </w:p>
    <w:p w14:paraId="3485DB37">
      <w:pPr>
        <w:pStyle w:val="29"/>
        <w:pageBreakBefore w:val="0"/>
        <w:widowControl w:val="0"/>
        <w:topLinePunct w:val="0"/>
        <w:bidi w:val="0"/>
        <w:outlineLvl w:val="9"/>
        <w:rPr>
          <w:color w:val="auto"/>
          <w:lang w:eastAsia="zh-CN"/>
        </w:rPr>
      </w:pPr>
      <w:bookmarkStart w:id="15" w:name="_Toc20315"/>
      <w:r>
        <w:rPr>
          <w:rFonts w:hint="eastAsia"/>
          <w:b/>
          <w:bCs/>
          <w:color w:val="auto"/>
          <w:lang w:val="en-US" w:eastAsia="zh-CN"/>
        </w:rPr>
        <w:t>2. 1. 1</w:t>
      </w:r>
      <w:r>
        <w:rPr>
          <w:rFonts w:hint="eastAsia" w:eastAsiaTheme="minorEastAsia" w:cstheme="minorBidi"/>
          <w:color w:val="auto"/>
          <w:kern w:val="2"/>
          <w:szCs w:val="24"/>
        </w:rPr>
        <w:t>　</w:t>
      </w:r>
      <w:r>
        <w:rPr>
          <w:rFonts w:hint="eastAsia"/>
          <w:color w:val="auto"/>
          <w:lang w:eastAsia="zh-CN"/>
        </w:rPr>
        <w:t>山地光伏电站</w:t>
      </w:r>
      <w:r>
        <w:rPr>
          <w:rFonts w:hint="eastAsia" w:eastAsiaTheme="minorEastAsia" w:cstheme="minorBidi"/>
          <w:color w:val="auto"/>
          <w:kern w:val="2"/>
          <w:szCs w:val="24"/>
        </w:rPr>
        <w:t>　　</w:t>
      </w:r>
      <w:r>
        <w:rPr>
          <w:rFonts w:hint="eastAsia"/>
          <w:color w:val="auto"/>
          <w:lang w:eastAsia="zh-CN"/>
        </w:rPr>
        <w:t>m</w:t>
      </w:r>
      <w:r>
        <w:rPr>
          <w:color w:val="auto"/>
        </w:rPr>
        <w:t>ountainous</w:t>
      </w:r>
      <w:r>
        <w:rPr>
          <w:rFonts w:hint="eastAsia"/>
          <w:color w:val="auto"/>
          <w:lang w:eastAsia="zh-CN"/>
        </w:rPr>
        <w:t xml:space="preserve"> PV</w:t>
      </w:r>
      <w:r>
        <w:rPr>
          <w:color w:val="auto"/>
          <w:lang w:eastAsia="zh-CN"/>
        </w:rPr>
        <w:t xml:space="preserve"> power station</w:t>
      </w:r>
      <w:bookmarkEnd w:id="15"/>
    </w:p>
    <w:p w14:paraId="5D184AB4">
      <w:pPr>
        <w:pStyle w:val="29"/>
        <w:pageBreakBefore w:val="0"/>
        <w:widowControl w:val="0"/>
        <w:topLinePunct w:val="0"/>
        <w:bidi w:val="0"/>
        <w:ind w:firstLine="560" w:firstLineChars="200"/>
        <w:rPr>
          <w:rFonts w:hint="eastAsia"/>
          <w:color w:val="auto"/>
          <w:lang w:val="en-US" w:eastAsia="zh-CN"/>
        </w:rPr>
      </w:pPr>
      <w:r>
        <w:rPr>
          <w:rFonts w:hint="eastAsia"/>
          <w:color w:val="auto"/>
          <w:lang w:val="en-US" w:eastAsia="zh-CN"/>
        </w:rPr>
        <w:t>在地形起伏、地面自然坡度大于3°的丘陵或山岭地区建设的光伏电站。</w:t>
      </w:r>
    </w:p>
    <w:p w14:paraId="5A6ACF7E">
      <w:pPr>
        <w:pStyle w:val="29"/>
        <w:pageBreakBefore w:val="0"/>
        <w:widowControl w:val="0"/>
        <w:topLinePunct w:val="0"/>
        <w:bidi w:val="0"/>
        <w:rPr>
          <w:rFonts w:hint="eastAsia"/>
          <w:color w:val="auto"/>
          <w:lang w:eastAsia="zh-CN"/>
        </w:rPr>
      </w:pPr>
      <w:r>
        <w:rPr>
          <w:rFonts w:hint="eastAsia"/>
          <w:b/>
          <w:bCs/>
          <w:color w:val="auto"/>
          <w:lang w:val="en-US" w:eastAsia="zh-CN"/>
        </w:rPr>
        <w:t>2. 1. 2</w:t>
      </w:r>
      <w:r>
        <w:rPr>
          <w:rFonts w:hint="eastAsia" w:eastAsiaTheme="minorEastAsia" w:cstheme="minorBidi"/>
          <w:color w:val="auto"/>
          <w:kern w:val="2"/>
          <w:szCs w:val="24"/>
        </w:rPr>
        <w:t>　</w:t>
      </w:r>
      <w:r>
        <w:rPr>
          <w:rFonts w:hint="eastAsia"/>
          <w:color w:val="auto"/>
          <w:lang w:eastAsia="zh-CN"/>
        </w:rPr>
        <w:t>高海拔寒冷地区</w:t>
      </w:r>
      <w:r>
        <w:rPr>
          <w:rFonts w:hint="eastAsia" w:eastAsiaTheme="minorEastAsia" w:cstheme="minorBidi"/>
          <w:color w:val="auto"/>
          <w:kern w:val="2"/>
          <w:szCs w:val="24"/>
        </w:rPr>
        <w:t>　　</w:t>
      </w:r>
      <w:r>
        <w:rPr>
          <w:rFonts w:hint="eastAsia"/>
          <w:color w:val="auto"/>
          <w:lang w:eastAsia="zh-CN"/>
        </w:rPr>
        <w:t>plateau-cold zone</w:t>
      </w:r>
    </w:p>
    <w:p w14:paraId="5AF18688">
      <w:pPr>
        <w:pStyle w:val="29"/>
        <w:pageBreakBefore w:val="0"/>
        <w:widowControl w:val="0"/>
        <w:topLinePunct w:val="0"/>
        <w:bidi w:val="0"/>
        <w:ind w:firstLine="560" w:firstLineChars="200"/>
        <w:rPr>
          <w:rFonts w:hint="eastAsia"/>
          <w:color w:val="auto"/>
          <w:lang w:eastAsia="zh-CN"/>
        </w:rPr>
      </w:pPr>
      <w:r>
        <w:rPr>
          <w:rFonts w:hint="eastAsia"/>
          <w:color w:val="auto"/>
          <w:lang w:val="en-US" w:eastAsia="zh-CN"/>
        </w:rPr>
        <w:t>指</w:t>
      </w:r>
      <w:r>
        <w:rPr>
          <w:rFonts w:hint="eastAsia"/>
          <w:color w:val="auto"/>
          <w:lang w:eastAsia="zh-CN"/>
        </w:rPr>
        <w:t>海拔高度在2</w:t>
      </w:r>
      <w:r>
        <w:rPr>
          <w:color w:val="auto"/>
          <w:lang w:eastAsia="zh-CN"/>
        </w:rPr>
        <w:t>000</w:t>
      </w:r>
      <w:r>
        <w:rPr>
          <w:rFonts w:hint="eastAsia"/>
          <w:color w:val="auto"/>
          <w:lang w:eastAsia="zh-CN"/>
        </w:rPr>
        <w:t>m以上、最冷月平均温度&lt;</w:t>
      </w:r>
      <w:r>
        <w:rPr>
          <w:color w:val="auto"/>
          <w:lang w:eastAsia="zh-CN"/>
        </w:rPr>
        <w:t>0</w:t>
      </w:r>
      <w:r>
        <w:rPr>
          <w:rFonts w:hint="eastAsia"/>
          <w:color w:val="auto"/>
          <w:lang w:eastAsia="zh-CN"/>
        </w:rPr>
        <w:t>℃、日平均气温小于等于</w:t>
      </w:r>
      <w:r>
        <w:rPr>
          <w:color w:val="auto"/>
          <w:lang w:eastAsia="zh-CN"/>
        </w:rPr>
        <w:t>5</w:t>
      </w:r>
      <w:r>
        <w:rPr>
          <w:rFonts w:hint="eastAsia"/>
          <w:color w:val="auto"/>
          <w:lang w:eastAsia="zh-CN"/>
        </w:rPr>
        <w:t>℃的天数&gt;</w:t>
      </w:r>
      <w:r>
        <w:rPr>
          <w:color w:val="auto"/>
          <w:lang w:eastAsia="zh-CN"/>
        </w:rPr>
        <w:t>90</w:t>
      </w:r>
      <w:r>
        <w:rPr>
          <w:rFonts w:hint="eastAsia"/>
          <w:color w:val="auto"/>
          <w:lang w:eastAsia="zh-CN"/>
        </w:rPr>
        <w:t>d的气候区域。</w:t>
      </w:r>
    </w:p>
    <w:p w14:paraId="518337BD">
      <w:pPr>
        <w:pStyle w:val="29"/>
        <w:pageBreakBefore w:val="0"/>
        <w:widowControl w:val="0"/>
        <w:topLinePunct w:val="0"/>
        <w:bidi w:val="0"/>
        <w:rPr>
          <w:color w:val="auto"/>
          <w:lang w:eastAsia="zh-CN"/>
        </w:rPr>
      </w:pPr>
      <w:r>
        <w:rPr>
          <w:rFonts w:hint="eastAsia"/>
          <w:b/>
          <w:bCs/>
          <w:color w:val="auto"/>
          <w:lang w:val="en-US" w:eastAsia="zh-CN"/>
        </w:rPr>
        <w:t>2. 1. 3</w:t>
      </w:r>
      <w:r>
        <w:rPr>
          <w:rFonts w:hint="eastAsia" w:eastAsiaTheme="minorEastAsia" w:cstheme="minorBidi"/>
          <w:color w:val="auto"/>
          <w:kern w:val="2"/>
          <w:szCs w:val="24"/>
        </w:rPr>
        <w:t>　</w:t>
      </w:r>
      <w:r>
        <w:rPr>
          <w:rFonts w:hint="eastAsia"/>
          <w:color w:val="auto"/>
          <w:lang w:eastAsia="zh-CN"/>
        </w:rPr>
        <w:t>光伏组件</w:t>
      </w:r>
      <w:r>
        <w:rPr>
          <w:rFonts w:hint="eastAsia" w:eastAsiaTheme="minorEastAsia" w:cstheme="minorBidi"/>
          <w:color w:val="auto"/>
          <w:kern w:val="2"/>
          <w:szCs w:val="24"/>
        </w:rPr>
        <w:t>　　</w:t>
      </w:r>
      <w:r>
        <w:rPr>
          <w:rFonts w:hint="eastAsia"/>
          <w:color w:val="auto"/>
          <w:lang w:eastAsia="zh-CN"/>
        </w:rPr>
        <w:t>PV module</w:t>
      </w:r>
    </w:p>
    <w:p w14:paraId="42B38781">
      <w:pPr>
        <w:pStyle w:val="29"/>
        <w:pageBreakBefore w:val="0"/>
        <w:widowControl w:val="0"/>
        <w:topLinePunct w:val="0"/>
        <w:bidi w:val="0"/>
        <w:ind w:firstLine="560" w:firstLineChars="200"/>
        <w:rPr>
          <w:rFonts w:hint="default"/>
          <w:color w:val="auto"/>
          <w:lang w:eastAsia="zh-CN"/>
        </w:rPr>
      </w:pPr>
      <w:r>
        <w:rPr>
          <w:color w:val="auto"/>
          <w:lang w:eastAsia="zh-CN"/>
        </w:rPr>
        <w:t>具有封装及内部联结的、能单独提供直流电输出的、最小不可分割的太阳电池组合装置。又称太阳电池组件</w:t>
      </w:r>
      <w:r>
        <w:rPr>
          <w:rFonts w:hint="eastAsia"/>
          <w:color w:val="auto"/>
          <w:lang w:eastAsia="zh-CN"/>
        </w:rPr>
        <w:t>（</w:t>
      </w:r>
      <w:r>
        <w:rPr>
          <w:color w:val="auto"/>
          <w:lang w:eastAsia="zh-CN"/>
        </w:rPr>
        <w:t>solar cell module</w:t>
      </w:r>
      <w:r>
        <w:rPr>
          <w:rFonts w:hint="eastAsia"/>
          <w:color w:val="auto"/>
          <w:lang w:eastAsia="zh-CN"/>
        </w:rPr>
        <w:t>）</w:t>
      </w:r>
      <w:r>
        <w:rPr>
          <w:color w:val="auto"/>
          <w:lang w:eastAsia="zh-CN"/>
        </w:rPr>
        <w:t>。</w:t>
      </w:r>
    </w:p>
    <w:p w14:paraId="67A4FE71">
      <w:pPr>
        <w:pStyle w:val="29"/>
        <w:pageBreakBefore w:val="0"/>
        <w:widowControl w:val="0"/>
        <w:topLinePunct w:val="0"/>
        <w:bidi w:val="0"/>
        <w:outlineLvl w:val="9"/>
        <w:rPr>
          <w:color w:val="auto"/>
          <w:lang w:eastAsia="zh-CN"/>
        </w:rPr>
      </w:pPr>
      <w:r>
        <w:rPr>
          <w:rFonts w:hint="eastAsia"/>
          <w:b/>
          <w:bCs/>
          <w:color w:val="auto"/>
          <w:lang w:val="en-US" w:eastAsia="zh-CN"/>
        </w:rPr>
        <w:t>2. 1. 4</w:t>
      </w:r>
      <w:r>
        <w:rPr>
          <w:rFonts w:hint="eastAsia" w:eastAsiaTheme="minorEastAsia" w:cstheme="minorBidi"/>
          <w:color w:val="auto"/>
          <w:kern w:val="2"/>
          <w:szCs w:val="24"/>
        </w:rPr>
        <w:t>　</w:t>
      </w:r>
      <w:r>
        <w:rPr>
          <w:rFonts w:hint="eastAsia"/>
          <w:color w:val="auto"/>
          <w:lang w:eastAsia="zh-CN"/>
        </w:rPr>
        <w:t>光伏组件串</w:t>
      </w:r>
      <w:r>
        <w:rPr>
          <w:rFonts w:hint="eastAsia" w:eastAsiaTheme="minorEastAsia" w:cstheme="minorBidi"/>
          <w:color w:val="auto"/>
          <w:kern w:val="2"/>
          <w:szCs w:val="24"/>
        </w:rPr>
        <w:t>　　</w:t>
      </w:r>
      <w:r>
        <w:rPr>
          <w:rFonts w:hint="eastAsia"/>
          <w:color w:val="auto"/>
          <w:lang w:eastAsia="zh-CN"/>
        </w:rPr>
        <w:t>PV modules string</w:t>
      </w:r>
    </w:p>
    <w:p w14:paraId="210EC7C6">
      <w:pPr>
        <w:pStyle w:val="29"/>
        <w:pageBreakBefore w:val="0"/>
        <w:widowControl w:val="0"/>
        <w:topLinePunct w:val="0"/>
        <w:bidi w:val="0"/>
        <w:ind w:firstLine="560" w:firstLineChars="200"/>
        <w:rPr>
          <w:rFonts w:hint="default"/>
          <w:color w:val="auto"/>
          <w:lang w:eastAsia="zh-CN"/>
        </w:rPr>
      </w:pPr>
      <w:r>
        <w:rPr>
          <w:color w:val="auto"/>
          <w:lang w:eastAsia="zh-CN"/>
        </w:rPr>
        <w:t>在光伏发电系统中</w:t>
      </w:r>
      <w:r>
        <w:rPr>
          <w:rFonts w:hint="eastAsia"/>
          <w:color w:val="auto"/>
          <w:lang w:eastAsia="zh-CN"/>
        </w:rPr>
        <w:t>，</w:t>
      </w:r>
      <w:r>
        <w:rPr>
          <w:color w:val="auto"/>
          <w:lang w:eastAsia="zh-CN"/>
        </w:rPr>
        <w:t>将若干个光伏组件串联后</w:t>
      </w:r>
      <w:r>
        <w:rPr>
          <w:rFonts w:hint="eastAsia"/>
          <w:color w:val="auto"/>
          <w:lang w:eastAsia="zh-CN"/>
        </w:rPr>
        <w:t>，</w:t>
      </w:r>
      <w:r>
        <w:rPr>
          <w:color w:val="auto"/>
          <w:lang w:eastAsia="zh-CN"/>
        </w:rPr>
        <w:t>形成具有一定直流电输出的电路单元。</w:t>
      </w:r>
    </w:p>
    <w:p w14:paraId="4ABB9DD9">
      <w:pPr>
        <w:pStyle w:val="29"/>
        <w:pageBreakBefore w:val="0"/>
        <w:widowControl w:val="0"/>
        <w:topLinePunct w:val="0"/>
        <w:bidi w:val="0"/>
        <w:outlineLvl w:val="9"/>
        <w:rPr>
          <w:color w:val="auto"/>
          <w:lang w:eastAsia="zh-CN"/>
        </w:rPr>
      </w:pPr>
      <w:r>
        <w:rPr>
          <w:rFonts w:hint="eastAsia"/>
          <w:b/>
          <w:bCs/>
          <w:color w:val="auto"/>
          <w:lang w:val="en-US" w:eastAsia="zh-CN"/>
        </w:rPr>
        <w:t>2. 1. 5</w:t>
      </w:r>
      <w:r>
        <w:rPr>
          <w:rFonts w:hint="eastAsia" w:eastAsiaTheme="minorEastAsia" w:cstheme="minorBidi"/>
          <w:color w:val="auto"/>
          <w:kern w:val="2"/>
          <w:szCs w:val="24"/>
        </w:rPr>
        <w:t>　</w:t>
      </w:r>
      <w:r>
        <w:rPr>
          <w:rFonts w:hint="eastAsia"/>
          <w:color w:val="auto"/>
          <w:lang w:eastAsia="zh-CN"/>
        </w:rPr>
        <w:t>安装容量</w:t>
      </w:r>
      <w:r>
        <w:rPr>
          <w:rFonts w:hint="eastAsia" w:eastAsiaTheme="minorEastAsia" w:cstheme="minorBidi"/>
          <w:color w:val="auto"/>
          <w:kern w:val="2"/>
          <w:szCs w:val="24"/>
        </w:rPr>
        <w:t>　　</w:t>
      </w:r>
      <w:r>
        <w:rPr>
          <w:rFonts w:hint="eastAsia"/>
          <w:color w:val="auto"/>
          <w:lang w:eastAsia="zh-CN"/>
        </w:rPr>
        <w:t>capacity of installation</w:t>
      </w:r>
    </w:p>
    <w:p w14:paraId="0F8E2DBD">
      <w:pPr>
        <w:pStyle w:val="29"/>
        <w:pageBreakBefore w:val="0"/>
        <w:widowControl w:val="0"/>
        <w:topLinePunct w:val="0"/>
        <w:bidi w:val="0"/>
        <w:ind w:firstLine="560" w:firstLineChars="200"/>
        <w:rPr>
          <w:rFonts w:hint="default"/>
          <w:color w:val="auto"/>
          <w:lang w:eastAsia="zh-CN"/>
        </w:rPr>
      </w:pPr>
      <w:r>
        <w:rPr>
          <w:color w:val="auto"/>
          <w:lang w:eastAsia="zh-CN"/>
        </w:rPr>
        <w:t>光伏电站或光伏方阵中安装的光伏组件正面的标称功率之和，计量单位是峰瓦</w:t>
      </w:r>
      <w:r>
        <w:rPr>
          <w:rFonts w:hint="eastAsia"/>
          <w:color w:val="auto"/>
          <w:lang w:eastAsia="zh-CN"/>
        </w:rPr>
        <w:t>（</w:t>
      </w:r>
      <w:r>
        <w:rPr>
          <w:color w:val="auto"/>
          <w:lang w:eastAsia="zh-CN"/>
        </w:rPr>
        <w:t>Wp</w:t>
      </w:r>
      <w:r>
        <w:rPr>
          <w:rFonts w:hint="eastAsia"/>
          <w:color w:val="auto"/>
          <w:lang w:eastAsia="zh-CN"/>
        </w:rPr>
        <w:t>）</w:t>
      </w:r>
      <w:r>
        <w:rPr>
          <w:color w:val="auto"/>
          <w:lang w:eastAsia="zh-CN"/>
        </w:rPr>
        <w:t>。</w:t>
      </w:r>
    </w:p>
    <w:p w14:paraId="23025D9D">
      <w:pPr>
        <w:pStyle w:val="29"/>
        <w:pageBreakBefore w:val="0"/>
        <w:widowControl w:val="0"/>
        <w:topLinePunct w:val="0"/>
        <w:bidi w:val="0"/>
        <w:outlineLvl w:val="9"/>
        <w:rPr>
          <w:color w:val="auto"/>
          <w:lang w:eastAsia="zh-CN"/>
        </w:rPr>
      </w:pPr>
      <w:r>
        <w:rPr>
          <w:rFonts w:hint="eastAsia"/>
          <w:b/>
          <w:bCs/>
          <w:color w:val="auto"/>
          <w:lang w:val="en-US" w:eastAsia="zh-CN"/>
        </w:rPr>
        <w:t>2. 1. 6</w:t>
      </w:r>
      <w:r>
        <w:rPr>
          <w:rFonts w:hint="eastAsia" w:eastAsiaTheme="minorEastAsia" w:cstheme="minorBidi"/>
          <w:color w:val="auto"/>
          <w:kern w:val="2"/>
          <w:szCs w:val="24"/>
        </w:rPr>
        <w:t>　</w:t>
      </w:r>
      <w:r>
        <w:rPr>
          <w:rFonts w:hint="eastAsia"/>
          <w:color w:val="auto"/>
          <w:lang w:eastAsia="zh-CN"/>
        </w:rPr>
        <w:t>额定容量</w:t>
      </w:r>
      <w:r>
        <w:rPr>
          <w:rFonts w:hint="eastAsia" w:eastAsiaTheme="minorEastAsia" w:cstheme="minorBidi"/>
          <w:color w:val="auto"/>
          <w:kern w:val="2"/>
          <w:szCs w:val="24"/>
        </w:rPr>
        <w:t>　　</w:t>
      </w:r>
      <w:r>
        <w:rPr>
          <w:rFonts w:hint="eastAsia"/>
          <w:color w:val="auto"/>
          <w:lang w:eastAsia="zh-CN"/>
        </w:rPr>
        <w:t>rated  power</w:t>
      </w:r>
    </w:p>
    <w:p w14:paraId="7C51D458">
      <w:pPr>
        <w:pStyle w:val="29"/>
        <w:pageBreakBefore w:val="0"/>
        <w:widowControl w:val="0"/>
        <w:topLinePunct w:val="0"/>
        <w:bidi w:val="0"/>
        <w:ind w:firstLine="560" w:firstLineChars="200"/>
        <w:rPr>
          <w:rFonts w:hint="default"/>
          <w:color w:val="auto"/>
          <w:lang w:eastAsia="zh-CN"/>
        </w:rPr>
      </w:pPr>
      <w:r>
        <w:rPr>
          <w:color w:val="auto"/>
          <w:lang w:eastAsia="zh-CN"/>
        </w:rPr>
        <w:t>光伏电站或发电单元中安装的逆变器在0.9功率因数下，最大连续输出有功功率之和，计量单位是瓦</w:t>
      </w:r>
      <w:r>
        <w:rPr>
          <w:rFonts w:hint="eastAsia"/>
          <w:color w:val="auto"/>
          <w:lang w:eastAsia="zh-CN"/>
        </w:rPr>
        <w:t>（</w:t>
      </w:r>
      <w:r>
        <w:rPr>
          <w:color w:val="auto"/>
          <w:lang w:eastAsia="zh-CN"/>
        </w:rPr>
        <w:t>W</w:t>
      </w:r>
      <w:r>
        <w:rPr>
          <w:rFonts w:hint="eastAsia"/>
          <w:color w:val="auto"/>
          <w:lang w:eastAsia="zh-CN"/>
        </w:rPr>
        <w:t>）</w:t>
      </w:r>
      <w:r>
        <w:rPr>
          <w:color w:val="auto"/>
          <w:lang w:eastAsia="zh-CN"/>
        </w:rPr>
        <w:t>。</w:t>
      </w:r>
    </w:p>
    <w:p w14:paraId="520956D3">
      <w:pPr>
        <w:pStyle w:val="29"/>
        <w:pageBreakBefore w:val="0"/>
        <w:widowControl w:val="0"/>
        <w:topLinePunct w:val="0"/>
        <w:bidi w:val="0"/>
        <w:outlineLvl w:val="9"/>
        <w:rPr>
          <w:color w:val="auto"/>
          <w:lang w:eastAsia="zh-CN"/>
        </w:rPr>
      </w:pPr>
      <w:r>
        <w:rPr>
          <w:rFonts w:hint="eastAsia"/>
          <w:b/>
          <w:bCs/>
          <w:color w:val="auto"/>
          <w:lang w:val="en-US" w:eastAsia="zh-CN"/>
        </w:rPr>
        <w:t>2. 1. 7</w:t>
      </w:r>
      <w:r>
        <w:rPr>
          <w:rFonts w:hint="eastAsia" w:eastAsiaTheme="minorEastAsia" w:cstheme="minorBidi"/>
          <w:color w:val="auto"/>
          <w:kern w:val="2"/>
          <w:szCs w:val="24"/>
        </w:rPr>
        <w:t>　</w:t>
      </w:r>
      <w:r>
        <w:rPr>
          <w:rFonts w:hint="eastAsia"/>
          <w:color w:val="auto"/>
          <w:lang w:eastAsia="zh-CN"/>
        </w:rPr>
        <w:t>光伏方阵</w:t>
      </w:r>
      <w:r>
        <w:rPr>
          <w:rFonts w:hint="eastAsia" w:eastAsiaTheme="minorEastAsia" w:cstheme="minorBidi"/>
          <w:color w:val="auto"/>
          <w:kern w:val="2"/>
          <w:szCs w:val="24"/>
        </w:rPr>
        <w:t>　　</w:t>
      </w:r>
      <w:r>
        <w:rPr>
          <w:rFonts w:hint="eastAsia"/>
          <w:color w:val="auto"/>
          <w:lang w:eastAsia="zh-CN"/>
        </w:rPr>
        <w:t>PV array</w:t>
      </w:r>
    </w:p>
    <w:p w14:paraId="456A84B7">
      <w:pPr>
        <w:pStyle w:val="29"/>
        <w:pageBreakBefore w:val="0"/>
        <w:widowControl w:val="0"/>
        <w:topLinePunct w:val="0"/>
        <w:bidi w:val="0"/>
        <w:ind w:firstLine="560" w:firstLineChars="200"/>
        <w:rPr>
          <w:color w:val="auto"/>
          <w:lang w:eastAsia="zh-CN"/>
        </w:rPr>
      </w:pPr>
      <w:r>
        <w:rPr>
          <w:color w:val="auto"/>
          <w:lang w:eastAsia="zh-CN"/>
        </w:rPr>
        <w:t>将光伏组件在电气上按一定方式连接在一起，并按一定规律进行排布、安装后构成的直流发电单元。又称光伏阵列。</w:t>
      </w:r>
    </w:p>
    <w:p w14:paraId="6AB5C247">
      <w:pPr>
        <w:pStyle w:val="29"/>
        <w:pageBreakBefore w:val="0"/>
        <w:widowControl w:val="0"/>
        <w:topLinePunct w:val="0"/>
        <w:bidi w:val="0"/>
        <w:outlineLvl w:val="9"/>
        <w:rPr>
          <w:color w:val="auto"/>
          <w:lang w:eastAsia="zh-CN"/>
        </w:rPr>
      </w:pPr>
      <w:r>
        <w:rPr>
          <w:rFonts w:hint="eastAsia"/>
          <w:b/>
          <w:bCs/>
          <w:color w:val="auto"/>
          <w:lang w:val="en-US" w:eastAsia="zh-CN"/>
        </w:rPr>
        <w:t>2. 1. 8</w:t>
      </w:r>
      <w:r>
        <w:rPr>
          <w:rFonts w:hint="eastAsia" w:eastAsiaTheme="minorEastAsia" w:cstheme="minorBidi"/>
          <w:color w:val="auto"/>
          <w:kern w:val="2"/>
          <w:szCs w:val="24"/>
        </w:rPr>
        <w:t>　</w:t>
      </w:r>
      <w:r>
        <w:rPr>
          <w:rFonts w:hint="eastAsia"/>
          <w:color w:val="auto"/>
          <w:lang w:eastAsia="zh-CN"/>
        </w:rPr>
        <w:t>光伏发电系统</w:t>
      </w:r>
      <w:r>
        <w:rPr>
          <w:rFonts w:hint="eastAsia" w:eastAsiaTheme="minorEastAsia" w:cstheme="minorBidi"/>
          <w:color w:val="auto"/>
          <w:kern w:val="2"/>
          <w:szCs w:val="24"/>
        </w:rPr>
        <w:t>　　</w:t>
      </w:r>
      <w:r>
        <w:rPr>
          <w:rFonts w:hint="eastAsia"/>
          <w:color w:val="auto"/>
          <w:lang w:eastAsia="zh-CN"/>
        </w:rPr>
        <w:t>PV power generation system</w:t>
      </w:r>
    </w:p>
    <w:p w14:paraId="38943AF5">
      <w:pPr>
        <w:pStyle w:val="29"/>
        <w:pageBreakBefore w:val="0"/>
        <w:widowControl w:val="0"/>
        <w:topLinePunct w:val="0"/>
        <w:bidi w:val="0"/>
        <w:ind w:firstLine="560" w:firstLineChars="200"/>
        <w:rPr>
          <w:rFonts w:hint="default"/>
          <w:color w:val="auto"/>
          <w:lang w:eastAsia="zh-CN"/>
        </w:rPr>
      </w:pPr>
      <w:r>
        <w:rPr>
          <w:color w:val="auto"/>
          <w:lang w:eastAsia="zh-CN"/>
        </w:rPr>
        <w:t>利用太阳电池的光生伏特效应</w:t>
      </w:r>
      <w:r>
        <w:rPr>
          <w:rFonts w:hint="eastAsia"/>
          <w:color w:val="auto"/>
          <w:lang w:eastAsia="zh-CN"/>
        </w:rPr>
        <w:t>，</w:t>
      </w:r>
      <w:r>
        <w:rPr>
          <w:color w:val="auto"/>
          <w:lang w:eastAsia="zh-CN"/>
        </w:rPr>
        <w:t>将太阳辐射能直接转换成电能的发电系统。</w:t>
      </w:r>
    </w:p>
    <w:p w14:paraId="2B6E062F">
      <w:pPr>
        <w:pStyle w:val="29"/>
        <w:pageBreakBefore w:val="0"/>
        <w:widowControl w:val="0"/>
        <w:topLinePunct w:val="0"/>
        <w:bidi w:val="0"/>
        <w:outlineLvl w:val="9"/>
        <w:rPr>
          <w:color w:val="auto"/>
          <w:lang w:eastAsia="zh-CN"/>
        </w:rPr>
      </w:pPr>
      <w:r>
        <w:rPr>
          <w:rFonts w:hint="eastAsia"/>
          <w:b/>
          <w:bCs/>
          <w:color w:val="auto"/>
          <w:lang w:val="en-US" w:eastAsia="zh-CN"/>
        </w:rPr>
        <w:t>2. 1. 9</w:t>
      </w:r>
      <w:r>
        <w:rPr>
          <w:rFonts w:hint="eastAsia" w:eastAsiaTheme="minorEastAsia" w:cstheme="minorBidi"/>
          <w:color w:val="auto"/>
          <w:kern w:val="2"/>
          <w:szCs w:val="24"/>
        </w:rPr>
        <w:t>　</w:t>
      </w:r>
      <w:r>
        <w:rPr>
          <w:rFonts w:hint="eastAsia"/>
          <w:color w:val="auto"/>
          <w:lang w:eastAsia="zh-CN"/>
        </w:rPr>
        <w:t>集电线路</w:t>
      </w:r>
      <w:r>
        <w:rPr>
          <w:rFonts w:hint="eastAsia" w:eastAsiaTheme="minorEastAsia" w:cstheme="minorBidi"/>
          <w:color w:val="auto"/>
          <w:kern w:val="2"/>
          <w:szCs w:val="24"/>
        </w:rPr>
        <w:t>　　</w:t>
      </w:r>
      <w:r>
        <w:rPr>
          <w:rFonts w:hint="eastAsia"/>
          <w:color w:val="auto"/>
          <w:lang w:eastAsia="zh-CN"/>
        </w:rPr>
        <w:t>collector line</w:t>
      </w:r>
    </w:p>
    <w:p w14:paraId="66F25F24">
      <w:pPr>
        <w:pStyle w:val="29"/>
        <w:pageBreakBefore w:val="0"/>
        <w:widowControl w:val="0"/>
        <w:topLinePunct w:val="0"/>
        <w:bidi w:val="0"/>
        <w:ind w:firstLine="560" w:firstLineChars="200"/>
        <w:rPr>
          <w:rFonts w:hint="default"/>
          <w:color w:val="auto"/>
          <w:lang w:eastAsia="zh-CN"/>
        </w:rPr>
      </w:pPr>
      <w:r>
        <w:rPr>
          <w:color w:val="auto"/>
          <w:lang w:eastAsia="zh-CN"/>
        </w:rPr>
        <w:t>在并网的光伏发电系统中</w:t>
      </w:r>
      <w:r>
        <w:rPr>
          <w:rFonts w:hint="eastAsia"/>
          <w:color w:val="auto"/>
          <w:lang w:eastAsia="zh-CN"/>
        </w:rPr>
        <w:t>，</w:t>
      </w:r>
      <w:r>
        <w:rPr>
          <w:color w:val="auto"/>
          <w:lang w:eastAsia="zh-CN"/>
        </w:rPr>
        <w:t>将各个光伏组件串输出的电能</w:t>
      </w:r>
      <w:r>
        <w:rPr>
          <w:rFonts w:hint="eastAsia"/>
          <w:color w:val="auto"/>
          <w:lang w:eastAsia="zh-CN"/>
        </w:rPr>
        <w:t>，</w:t>
      </w:r>
      <w:r>
        <w:rPr>
          <w:color w:val="auto"/>
          <w:lang w:eastAsia="zh-CN"/>
        </w:rPr>
        <w:t>通过逆变器输出端汇集到发电母线的交流输电线路。</w:t>
      </w:r>
    </w:p>
    <w:p w14:paraId="475758BD">
      <w:pPr>
        <w:pStyle w:val="29"/>
        <w:pageBreakBefore w:val="0"/>
        <w:widowControl w:val="0"/>
        <w:topLinePunct w:val="0"/>
        <w:bidi w:val="0"/>
        <w:rPr>
          <w:color w:val="auto"/>
          <w:lang w:eastAsia="zh-CN"/>
        </w:rPr>
      </w:pPr>
      <w:r>
        <w:rPr>
          <w:rFonts w:hint="eastAsia"/>
          <w:b/>
          <w:bCs/>
          <w:color w:val="auto"/>
          <w:lang w:val="en-US" w:eastAsia="zh-CN"/>
        </w:rPr>
        <w:t>2. 1. 10</w:t>
      </w:r>
      <w:r>
        <w:rPr>
          <w:rFonts w:hint="eastAsia" w:eastAsiaTheme="minorEastAsia" w:cstheme="minorBidi"/>
          <w:color w:val="auto"/>
          <w:kern w:val="2"/>
          <w:szCs w:val="24"/>
        </w:rPr>
        <w:t>　</w:t>
      </w:r>
      <w:r>
        <w:rPr>
          <w:rFonts w:hint="eastAsia"/>
          <w:color w:val="auto"/>
          <w:lang w:eastAsia="zh-CN"/>
        </w:rPr>
        <w:t>并网点</w:t>
      </w:r>
      <w:r>
        <w:rPr>
          <w:rFonts w:hint="eastAsia" w:eastAsiaTheme="minorEastAsia" w:cstheme="minorBidi"/>
          <w:color w:val="auto"/>
          <w:kern w:val="2"/>
          <w:szCs w:val="24"/>
        </w:rPr>
        <w:t>　　</w:t>
      </w:r>
      <w:r>
        <w:rPr>
          <w:rFonts w:hint="eastAsia"/>
          <w:color w:val="auto"/>
          <w:lang w:eastAsia="zh-CN"/>
        </w:rPr>
        <w:t>point of coupling（POC）</w:t>
      </w:r>
    </w:p>
    <w:p w14:paraId="20EA3C20">
      <w:pPr>
        <w:pStyle w:val="29"/>
        <w:pageBreakBefore w:val="0"/>
        <w:widowControl w:val="0"/>
        <w:topLinePunct w:val="0"/>
        <w:bidi w:val="0"/>
        <w:ind w:firstLine="560" w:firstLineChars="200"/>
        <w:rPr>
          <w:rFonts w:hint="default"/>
          <w:color w:val="auto"/>
          <w:lang w:eastAsia="zh-CN"/>
        </w:rPr>
      </w:pPr>
      <w:r>
        <w:rPr>
          <w:color w:val="auto"/>
          <w:lang w:eastAsia="zh-CN"/>
        </w:rPr>
        <w:t>对于有升压站的光伏电站</w:t>
      </w:r>
      <w:r>
        <w:rPr>
          <w:rFonts w:hint="eastAsia"/>
          <w:color w:val="auto"/>
          <w:lang w:eastAsia="zh-CN"/>
        </w:rPr>
        <w:t>，</w:t>
      </w:r>
      <w:r>
        <w:rPr>
          <w:color w:val="auto"/>
          <w:lang w:eastAsia="zh-CN"/>
        </w:rPr>
        <w:t>指升压站高压侧母线或节点</w:t>
      </w:r>
      <w:r>
        <w:rPr>
          <w:rFonts w:hint="eastAsia"/>
          <w:color w:val="auto"/>
          <w:lang w:eastAsia="zh-CN"/>
        </w:rPr>
        <w:t>；</w:t>
      </w:r>
      <w:r>
        <w:rPr>
          <w:color w:val="auto"/>
          <w:lang w:eastAsia="zh-CN"/>
        </w:rPr>
        <w:t>对于无升压站的光伏电站</w:t>
      </w:r>
      <w:r>
        <w:rPr>
          <w:rFonts w:hint="eastAsia"/>
          <w:color w:val="auto"/>
          <w:lang w:eastAsia="zh-CN"/>
        </w:rPr>
        <w:t>，</w:t>
      </w:r>
      <w:r>
        <w:rPr>
          <w:color w:val="auto"/>
          <w:lang w:eastAsia="zh-CN"/>
        </w:rPr>
        <w:t>指输出汇总点。</w:t>
      </w:r>
    </w:p>
    <w:p w14:paraId="001C2E93">
      <w:pPr>
        <w:pStyle w:val="31"/>
        <w:pageBreakBefore w:val="0"/>
        <w:widowControl w:val="0"/>
        <w:topLinePunct w:val="0"/>
        <w:bidi w:val="0"/>
        <w:outlineLvl w:val="1"/>
        <w:rPr>
          <w:rFonts w:hint="eastAsia" w:ascii="Times New Roman" w:hAnsi="Times New Roman" w:cs="Times New Roman"/>
          <w:color w:val="auto"/>
          <w:lang w:eastAsia="zh-CN"/>
        </w:rPr>
      </w:pPr>
      <w:bookmarkStart w:id="16" w:name="_Toc13877"/>
      <w:bookmarkStart w:id="17" w:name="_Toc8609"/>
      <w:r>
        <w:rPr>
          <w:rFonts w:hint="eastAsia"/>
          <w:b/>
          <w:bCs/>
          <w:color w:val="auto"/>
          <w:lang w:val="en-US" w:eastAsia="zh-CN"/>
        </w:rPr>
        <w:t>2</w:t>
      </w:r>
      <w:r>
        <w:rPr>
          <w:rFonts w:hint="eastAsia"/>
          <w:color w:val="auto"/>
          <w:lang w:val="en-US" w:eastAsia="zh-CN"/>
        </w:rPr>
        <w:t xml:space="preserve">    </w:t>
      </w:r>
      <w:r>
        <w:rPr>
          <w:rFonts w:hint="eastAsia" w:ascii="Times New Roman" w:hAnsi="Times New Roman" w:cs="Times New Roman"/>
          <w:color w:val="auto"/>
          <w:lang w:eastAsia="zh-CN"/>
        </w:rPr>
        <w:t>符</w:t>
      </w:r>
      <w:r>
        <w:rPr>
          <w:rFonts w:hint="eastAsia"/>
          <w:color w:val="auto"/>
          <w:sz w:val="32"/>
          <w:szCs w:val="36"/>
          <w:lang w:val="en-US" w:eastAsia="zh-CN"/>
        </w:rPr>
        <w:t xml:space="preserve">     </w:t>
      </w:r>
      <w:r>
        <w:rPr>
          <w:rFonts w:hint="eastAsia" w:ascii="Times New Roman" w:hAnsi="Times New Roman" w:cs="Times New Roman"/>
          <w:color w:val="auto"/>
          <w:lang w:eastAsia="zh-CN"/>
        </w:rPr>
        <w:t>号</w:t>
      </w:r>
      <w:bookmarkEnd w:id="16"/>
      <w:bookmarkEnd w:id="17"/>
    </w:p>
    <w:p w14:paraId="1909ED0D">
      <w:pPr>
        <w:pStyle w:val="29"/>
        <w:pageBreakBefore w:val="0"/>
        <w:widowControl w:val="0"/>
        <w:topLinePunct w:val="0"/>
        <w:bidi w:val="0"/>
        <w:rPr>
          <w:color w:val="auto"/>
          <w:lang w:eastAsia="zh-CN"/>
        </w:rPr>
      </w:pPr>
      <w:r>
        <w:rPr>
          <w:rFonts w:hint="eastAsia"/>
          <w:b/>
          <w:bCs/>
          <w:color w:val="auto"/>
          <w:lang w:val="en-US" w:eastAsia="zh-CN"/>
        </w:rPr>
        <w:t>2. 2. 1</w:t>
      </w:r>
      <w:r>
        <w:rPr>
          <w:rFonts w:hint="eastAsia"/>
          <w:color w:val="auto"/>
        </w:rPr>
        <w:t>　</w:t>
      </w:r>
      <w:r>
        <w:rPr>
          <w:rFonts w:hint="eastAsia"/>
          <w:color w:val="auto"/>
          <w:lang w:eastAsia="zh-CN"/>
        </w:rPr>
        <w:t>温度、辐照强度</w:t>
      </w:r>
    </w:p>
    <w:p w14:paraId="3FE3CDD2">
      <w:pPr>
        <w:pStyle w:val="29"/>
        <w:pageBreakBefore w:val="0"/>
        <w:widowControl w:val="0"/>
        <w:topLinePunct w:val="0"/>
        <w:bidi w:val="0"/>
        <w:ind w:firstLine="560" w:firstLineChars="200"/>
        <w:rPr>
          <w:color w:val="auto"/>
          <w:lang w:eastAsia="zh-CN"/>
        </w:rPr>
      </w:pPr>
      <w:r>
        <w:rPr>
          <w:color w:val="auto"/>
          <w:lang w:eastAsia="zh-CN"/>
        </w:rPr>
        <w:t>K</w:t>
      </w:r>
      <w:r>
        <w:rPr>
          <w:rFonts w:hint="eastAsia"/>
          <w:color w:val="auto"/>
          <w:lang w:eastAsia="zh-CN"/>
        </w:rPr>
        <w:t>v</w:t>
      </w:r>
      <w:r>
        <w:rPr>
          <w:color w:val="auto"/>
          <w:lang w:eastAsia="zh-CN"/>
        </w:rPr>
        <w:t>——光伏组件的开路电压温度系数；</w:t>
      </w:r>
    </w:p>
    <w:p w14:paraId="1589E44A">
      <w:pPr>
        <w:pStyle w:val="29"/>
        <w:pageBreakBefore w:val="0"/>
        <w:widowControl w:val="0"/>
        <w:topLinePunct w:val="0"/>
        <w:bidi w:val="0"/>
        <w:ind w:firstLine="560" w:firstLineChars="200"/>
        <w:rPr>
          <w:color w:val="auto"/>
          <w:lang w:eastAsia="zh-CN"/>
        </w:rPr>
      </w:pPr>
      <w:r>
        <w:rPr>
          <w:color w:val="auto"/>
          <w:lang w:eastAsia="zh-CN"/>
        </w:rPr>
        <w:t>Kv′——光伏组件的工作电压温度系数；</w:t>
      </w:r>
    </w:p>
    <w:p w14:paraId="2B91EDE9">
      <w:pPr>
        <w:pStyle w:val="29"/>
        <w:pageBreakBefore w:val="0"/>
        <w:widowControl w:val="0"/>
        <w:topLinePunct w:val="0"/>
        <w:bidi w:val="0"/>
        <w:ind w:firstLine="560" w:firstLineChars="200"/>
        <w:rPr>
          <w:color w:val="auto"/>
          <w:lang w:eastAsia="zh-CN"/>
        </w:rPr>
      </w:pPr>
      <w:r>
        <w:rPr>
          <w:color w:val="auto"/>
          <w:lang w:eastAsia="zh-CN"/>
        </w:rPr>
        <w:t>N——光伏组件的串联数（N取整）；</w:t>
      </w:r>
    </w:p>
    <w:p w14:paraId="3CEB3804">
      <w:pPr>
        <w:pStyle w:val="29"/>
        <w:pageBreakBefore w:val="0"/>
        <w:widowControl w:val="0"/>
        <w:topLinePunct w:val="0"/>
        <w:bidi w:val="0"/>
        <w:ind w:firstLine="560" w:firstLineChars="200"/>
        <w:rPr>
          <w:color w:val="auto"/>
          <w:lang w:eastAsia="zh-CN"/>
        </w:rPr>
      </w:pPr>
      <w:r>
        <w:rPr>
          <w:color w:val="auto"/>
          <w:lang w:eastAsia="zh-CN"/>
        </w:rPr>
        <w:t>t——昼间环境下光伏组件的极限低温（℃）；</w:t>
      </w:r>
    </w:p>
    <w:p w14:paraId="5B5B502F">
      <w:pPr>
        <w:pStyle w:val="29"/>
        <w:pageBreakBefore w:val="0"/>
        <w:widowControl w:val="0"/>
        <w:topLinePunct w:val="0"/>
        <w:bidi w:val="0"/>
        <w:ind w:firstLine="560" w:firstLineChars="200"/>
        <w:rPr>
          <w:color w:val="auto"/>
          <w:lang w:eastAsia="zh-CN"/>
        </w:rPr>
      </w:pPr>
      <w:r>
        <w:rPr>
          <w:color w:val="auto"/>
          <w:lang w:eastAsia="zh-CN"/>
        </w:rPr>
        <w:t>t′——工作状态下光伏组件的电池极限高温（℃）；</w:t>
      </w:r>
    </w:p>
    <w:p w14:paraId="2BE3E2A5">
      <w:pPr>
        <w:pStyle w:val="29"/>
        <w:pageBreakBefore w:val="0"/>
        <w:widowControl w:val="0"/>
        <w:topLinePunct w:val="0"/>
        <w:bidi w:val="0"/>
        <w:ind w:firstLine="560" w:firstLineChars="200"/>
        <w:rPr>
          <w:color w:val="auto"/>
          <w:lang w:eastAsia="zh-CN"/>
        </w:rPr>
      </w:pPr>
      <w:r>
        <w:rPr>
          <w:color w:val="auto"/>
          <w:lang w:eastAsia="zh-CN"/>
        </w:rPr>
        <w:t>t</w:t>
      </w:r>
      <w:r>
        <w:rPr>
          <w:rFonts w:hint="eastAsia"/>
          <w:color w:val="auto"/>
          <w:lang w:eastAsia="zh-CN"/>
        </w:rPr>
        <w:t>amb</w:t>
      </w:r>
      <w:r>
        <w:rPr>
          <w:color w:val="auto"/>
          <w:lang w:eastAsia="zh-CN"/>
        </w:rPr>
        <w:t>——</w:t>
      </w:r>
      <w:r>
        <w:rPr>
          <w:rFonts w:hint="eastAsia"/>
          <w:color w:val="auto"/>
          <w:lang w:val="en-US" w:eastAsia="zh-CN"/>
        </w:rPr>
        <w:t>站</w:t>
      </w:r>
      <w:r>
        <w:rPr>
          <w:rFonts w:hint="eastAsia"/>
          <w:color w:val="auto"/>
          <w:lang w:eastAsia="zh-CN"/>
        </w:rPr>
        <w:t>址极端最低气温</w:t>
      </w:r>
      <w:r>
        <w:rPr>
          <w:color w:val="auto"/>
          <w:lang w:eastAsia="zh-CN"/>
        </w:rPr>
        <w:t>（℃）；</w:t>
      </w:r>
    </w:p>
    <w:p w14:paraId="59DC3EB5">
      <w:pPr>
        <w:pStyle w:val="29"/>
        <w:pageBreakBefore w:val="0"/>
        <w:widowControl w:val="0"/>
        <w:topLinePunct w:val="0"/>
        <w:bidi w:val="0"/>
        <w:ind w:firstLine="560" w:firstLineChars="200"/>
        <w:rPr>
          <w:color w:val="auto"/>
          <w:lang w:eastAsia="zh-CN"/>
        </w:rPr>
      </w:pPr>
      <w:r>
        <w:rPr>
          <w:rFonts w:hint="eastAsia"/>
          <w:color w:val="auto"/>
          <w:lang w:eastAsia="zh-CN"/>
        </w:rPr>
        <w:t>Irad</w:t>
      </w:r>
      <w:r>
        <w:rPr>
          <w:color w:val="auto"/>
          <w:lang w:eastAsia="zh-CN"/>
        </w:rPr>
        <w:t>——</w:t>
      </w:r>
      <w:r>
        <w:rPr>
          <w:rFonts w:hint="eastAsia"/>
          <w:color w:val="auto"/>
          <w:lang w:eastAsia="zh-CN"/>
        </w:rPr>
        <w:t>太阳辐射强度</w:t>
      </w:r>
      <w:r>
        <w:rPr>
          <w:color w:val="auto"/>
          <w:lang w:eastAsia="zh-CN"/>
        </w:rPr>
        <w:t>（</w:t>
      </w:r>
      <w:r>
        <w:rPr>
          <w:rFonts w:hint="eastAsia"/>
          <w:color w:val="auto"/>
          <w:lang w:eastAsia="zh-CN"/>
        </w:rPr>
        <w:t>W/m</w:t>
      </w:r>
      <w:r>
        <w:rPr>
          <w:rFonts w:hint="eastAsia"/>
          <w:color w:val="auto"/>
          <w:vertAlign w:val="superscript"/>
          <w:lang w:eastAsia="zh-CN"/>
        </w:rPr>
        <w:t>2</w:t>
      </w:r>
      <w:r>
        <w:rPr>
          <w:color w:val="auto"/>
          <w:lang w:eastAsia="zh-CN"/>
        </w:rPr>
        <w:t>）</w:t>
      </w:r>
      <w:r>
        <w:rPr>
          <w:rFonts w:hint="eastAsia"/>
          <w:color w:val="auto"/>
          <w:lang w:eastAsia="zh-CN"/>
        </w:rPr>
        <w:t>。</w:t>
      </w:r>
    </w:p>
    <w:p w14:paraId="7219764F">
      <w:pPr>
        <w:pStyle w:val="29"/>
        <w:pageBreakBefore w:val="0"/>
        <w:widowControl w:val="0"/>
        <w:topLinePunct w:val="0"/>
        <w:bidi w:val="0"/>
        <w:rPr>
          <w:color w:val="auto"/>
          <w:lang w:eastAsia="zh-CN"/>
        </w:rPr>
      </w:pPr>
      <w:r>
        <w:rPr>
          <w:rFonts w:hint="eastAsia"/>
          <w:b/>
          <w:bCs/>
          <w:color w:val="auto"/>
          <w:lang w:val="en-US" w:eastAsia="zh-CN"/>
        </w:rPr>
        <w:t>2. 2. 2</w:t>
      </w:r>
      <w:r>
        <w:rPr>
          <w:rFonts w:hint="eastAsia"/>
          <w:color w:val="auto"/>
        </w:rPr>
        <w:t>　</w:t>
      </w:r>
      <w:r>
        <w:rPr>
          <w:rFonts w:hint="eastAsia"/>
          <w:color w:val="auto"/>
          <w:lang w:eastAsia="zh-CN"/>
        </w:rPr>
        <w:t>电压</w:t>
      </w:r>
    </w:p>
    <w:p w14:paraId="6C13D5B2">
      <w:pPr>
        <w:pStyle w:val="29"/>
        <w:pageBreakBefore w:val="0"/>
        <w:widowControl w:val="0"/>
        <w:topLinePunct w:val="0"/>
        <w:bidi w:val="0"/>
        <w:ind w:firstLine="560" w:firstLineChars="200"/>
        <w:rPr>
          <w:color w:val="auto"/>
          <w:lang w:eastAsia="zh-CN"/>
        </w:rPr>
      </w:pPr>
      <w:r>
        <w:rPr>
          <w:color w:val="auto"/>
          <w:lang w:eastAsia="zh-CN"/>
        </w:rPr>
        <w:t>Vdcmax——逆变器和光伏组件允许的最大系统电压，取两者小值（V）；</w:t>
      </w:r>
    </w:p>
    <w:p w14:paraId="37061DF1">
      <w:pPr>
        <w:pStyle w:val="29"/>
        <w:pageBreakBefore w:val="0"/>
        <w:widowControl w:val="0"/>
        <w:topLinePunct w:val="0"/>
        <w:bidi w:val="0"/>
        <w:ind w:firstLine="560" w:firstLineChars="200"/>
        <w:rPr>
          <w:color w:val="auto"/>
          <w:lang w:eastAsia="zh-CN"/>
        </w:rPr>
      </w:pPr>
      <w:r>
        <w:rPr>
          <w:color w:val="auto"/>
          <w:lang w:eastAsia="zh-CN"/>
        </w:rPr>
        <w:t>Vmpptmin——逆变器MPPT电压最小值（V）；</w:t>
      </w:r>
    </w:p>
    <w:p w14:paraId="4207CCF8">
      <w:pPr>
        <w:pStyle w:val="29"/>
        <w:pageBreakBefore w:val="0"/>
        <w:widowControl w:val="0"/>
        <w:topLinePunct w:val="0"/>
        <w:bidi w:val="0"/>
        <w:ind w:firstLine="560" w:firstLineChars="200"/>
        <w:rPr>
          <w:color w:val="auto"/>
          <w:lang w:eastAsia="zh-CN"/>
        </w:rPr>
      </w:pPr>
      <w:r>
        <w:rPr>
          <w:color w:val="auto"/>
          <w:lang w:eastAsia="zh-CN"/>
        </w:rPr>
        <w:t>Voc——光伏组件的开路电压（V）；</w:t>
      </w:r>
    </w:p>
    <w:p w14:paraId="33E7D977">
      <w:pPr>
        <w:pStyle w:val="29"/>
        <w:pageBreakBefore w:val="0"/>
        <w:widowControl w:val="0"/>
        <w:topLinePunct w:val="0"/>
        <w:bidi w:val="0"/>
        <w:ind w:firstLine="560" w:firstLineChars="200"/>
        <w:rPr>
          <w:color w:val="auto"/>
          <w:lang w:eastAsia="zh-CN"/>
        </w:rPr>
      </w:pPr>
      <w:r>
        <w:rPr>
          <w:color w:val="auto"/>
          <w:lang w:eastAsia="zh-CN"/>
        </w:rPr>
        <w:t>Vpm——光伏组件的最佳工作电压（V）。</w:t>
      </w:r>
    </w:p>
    <w:p w14:paraId="16A4D683">
      <w:pPr>
        <w:pStyle w:val="29"/>
        <w:pageBreakBefore w:val="0"/>
        <w:widowControl w:val="0"/>
        <w:topLinePunct w:val="0"/>
        <w:bidi w:val="0"/>
        <w:rPr>
          <w:color w:val="auto"/>
          <w:lang w:eastAsia="zh-CN"/>
        </w:rPr>
      </w:pPr>
      <w:r>
        <w:rPr>
          <w:rFonts w:hint="eastAsia"/>
          <w:b/>
          <w:bCs/>
          <w:color w:val="auto"/>
          <w:lang w:val="en-US" w:eastAsia="zh-CN"/>
        </w:rPr>
        <w:t>2. 2. 3</w:t>
      </w:r>
      <w:r>
        <w:rPr>
          <w:rFonts w:hint="eastAsia"/>
          <w:color w:val="auto"/>
        </w:rPr>
        <w:t>　</w:t>
      </w:r>
      <w:r>
        <w:rPr>
          <w:rFonts w:hint="eastAsia"/>
          <w:color w:val="auto"/>
          <w:lang w:eastAsia="zh-CN"/>
        </w:rPr>
        <w:t>能量</w:t>
      </w:r>
    </w:p>
    <w:p w14:paraId="42353B47">
      <w:pPr>
        <w:pStyle w:val="29"/>
        <w:pageBreakBefore w:val="0"/>
        <w:widowControl w:val="0"/>
        <w:topLinePunct w:val="0"/>
        <w:bidi w:val="0"/>
        <w:ind w:firstLine="560" w:firstLineChars="200"/>
        <w:rPr>
          <w:color w:val="auto"/>
          <w:lang w:eastAsia="zh-CN"/>
        </w:rPr>
      </w:pPr>
      <w:r>
        <w:rPr>
          <w:rFonts w:hint="eastAsia"/>
          <w:color w:val="auto"/>
          <w:lang w:eastAsia="zh-CN"/>
        </w:rPr>
        <w:t>PR——光伏发电系统效率（%）；</w:t>
      </w:r>
    </w:p>
    <w:p w14:paraId="43E3196B">
      <w:pPr>
        <w:pStyle w:val="29"/>
        <w:pageBreakBefore w:val="0"/>
        <w:widowControl w:val="0"/>
        <w:topLinePunct w:val="0"/>
        <w:bidi w:val="0"/>
        <w:ind w:firstLine="560" w:firstLineChars="200"/>
        <w:rPr>
          <w:color w:val="auto"/>
          <w:lang w:eastAsia="zh-CN"/>
        </w:rPr>
      </w:pPr>
      <w:r>
        <w:rPr>
          <w:rFonts w:hint="eastAsia"/>
          <w:color w:val="auto"/>
          <w:lang w:eastAsia="zh-CN"/>
        </w:rPr>
        <w:t>GA——光伏阵列面太阳总辐照量（kW</w:t>
      </w:r>
      <w:r>
        <w:rPr>
          <w:color w:val="auto"/>
          <w:lang w:eastAsia="zh-CN"/>
        </w:rPr>
        <w:t>·</w:t>
      </w:r>
      <w:r>
        <w:rPr>
          <w:rFonts w:hint="eastAsia"/>
          <w:color w:val="auto"/>
          <w:lang w:eastAsia="zh-CN"/>
        </w:rPr>
        <w:t>h/m</w:t>
      </w:r>
      <w:r>
        <w:rPr>
          <w:rFonts w:hint="eastAsia"/>
          <w:color w:val="auto"/>
          <w:vertAlign w:val="superscript"/>
          <w:lang w:eastAsia="zh-CN"/>
        </w:rPr>
        <w:t>2</w:t>
      </w:r>
      <w:r>
        <w:rPr>
          <w:rFonts w:hint="eastAsia"/>
          <w:color w:val="auto"/>
          <w:lang w:eastAsia="zh-CN"/>
        </w:rPr>
        <w:t>）；</w:t>
      </w:r>
    </w:p>
    <w:p w14:paraId="13E15DFA">
      <w:pPr>
        <w:pStyle w:val="29"/>
        <w:pageBreakBefore w:val="0"/>
        <w:widowControl w:val="0"/>
        <w:topLinePunct w:val="0"/>
        <w:bidi w:val="0"/>
        <w:ind w:firstLine="560" w:firstLineChars="200"/>
        <w:rPr>
          <w:color w:val="auto"/>
          <w:lang w:eastAsia="zh-CN"/>
        </w:rPr>
      </w:pPr>
      <w:r>
        <w:rPr>
          <w:rFonts w:hint="eastAsia"/>
          <w:color w:val="auto"/>
          <w:lang w:eastAsia="zh-CN"/>
        </w:rPr>
        <w:t>Es——标准条件下的辐照度（常数=1kW/m</w:t>
      </w:r>
      <w:r>
        <w:rPr>
          <w:rFonts w:hint="eastAsia"/>
          <w:color w:val="auto"/>
          <w:vertAlign w:val="superscript"/>
          <w:lang w:eastAsia="zh-CN"/>
        </w:rPr>
        <w:t>2</w:t>
      </w:r>
      <w:r>
        <w:rPr>
          <w:rFonts w:hint="eastAsia"/>
          <w:color w:val="auto"/>
          <w:lang w:eastAsia="zh-CN"/>
        </w:rPr>
        <w:t>）；</w:t>
      </w:r>
    </w:p>
    <w:p w14:paraId="4B7CF8AB">
      <w:pPr>
        <w:pStyle w:val="29"/>
        <w:pageBreakBefore w:val="0"/>
        <w:widowControl w:val="0"/>
        <w:topLinePunct w:val="0"/>
        <w:bidi w:val="0"/>
        <w:ind w:firstLine="560" w:firstLineChars="200"/>
        <w:rPr>
          <w:color w:val="auto"/>
          <w:lang w:eastAsia="zh-CN"/>
        </w:rPr>
      </w:pPr>
      <w:r>
        <w:rPr>
          <w:rFonts w:hint="eastAsia"/>
          <w:color w:val="auto"/>
          <w:lang w:eastAsia="zh-CN"/>
        </w:rPr>
        <w:t>PAZ——组件的安装容量（kWp）。</w:t>
      </w:r>
    </w:p>
    <w:p w14:paraId="2B204B74">
      <w:pPr>
        <w:pStyle w:val="29"/>
        <w:pageBreakBefore w:val="0"/>
        <w:widowControl w:val="0"/>
        <w:topLinePunct w:val="0"/>
        <w:bidi w:val="0"/>
        <w:outlineLvl w:val="9"/>
        <w:rPr>
          <w:color w:val="auto"/>
          <w:lang w:eastAsia="zh-CN"/>
        </w:rPr>
      </w:pPr>
      <w:bookmarkStart w:id="18" w:name="_Toc17117"/>
      <w:r>
        <w:rPr>
          <w:rFonts w:hint="eastAsia"/>
          <w:b/>
          <w:bCs/>
          <w:color w:val="auto"/>
          <w:lang w:val="en-US" w:eastAsia="zh-CN"/>
        </w:rPr>
        <w:t>2. 2. 4</w:t>
      </w:r>
      <w:r>
        <w:rPr>
          <w:rFonts w:hint="eastAsia"/>
          <w:color w:val="auto"/>
        </w:rPr>
        <w:t>　</w:t>
      </w:r>
      <w:r>
        <w:rPr>
          <w:rFonts w:hint="eastAsia"/>
          <w:color w:val="auto"/>
          <w:lang w:eastAsia="zh-CN"/>
        </w:rPr>
        <w:t>结构系数</w:t>
      </w:r>
      <w:bookmarkEnd w:id="18"/>
    </w:p>
    <w:p w14:paraId="13A6FFFF">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S</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oMath>
      <w:r>
        <w:rPr>
          <w:color w:val="auto"/>
          <w:lang w:eastAsia="zh-CN"/>
        </w:rPr>
        <w:t xml:space="preserve"> ——荷载组合的效应设计值；</w:t>
      </w:r>
    </w:p>
    <w:p w14:paraId="5CD00F47">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R</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oMath>
      <w:r>
        <w:rPr>
          <w:color w:val="auto"/>
          <w:lang w:eastAsia="zh-CN"/>
        </w:rPr>
        <w:t xml:space="preserve"> ——结构构件承载力的设计值</w:t>
      </w:r>
      <w:r>
        <w:rPr>
          <w:rFonts w:hint="eastAsia"/>
          <w:color w:val="auto"/>
          <w:lang w:eastAsia="zh-CN"/>
        </w:rPr>
        <w:t>；</w:t>
      </w:r>
    </w:p>
    <w:p w14:paraId="761EC774">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G</m:t>
            </m:r>
            <m:ctrlPr>
              <w:rPr>
                <w:rFonts w:ascii="Cambria Math" w:hAnsi="Cambria Math"/>
                <w:color w:val="auto"/>
              </w:rPr>
            </m:ctrlPr>
          </m:e>
          <m:sub>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——永久荷载作用标准值；</w:t>
      </w:r>
    </w:p>
    <w:p w14:paraId="5883D2FE">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P</m:t>
            </m:r>
            <m:ctrlPr>
              <w:rPr>
                <w:rFonts w:ascii="Cambria Math" w:hAnsi="Cambria Math"/>
                <w:color w:val="auto"/>
              </w:rPr>
            </m:ctrlPr>
          </m:e>
          <m:sub>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w:t>
      </w:r>
      <w:r>
        <w:rPr>
          <w:rFonts w:hint="eastAsia"/>
          <w:color w:val="auto"/>
          <w:lang w:eastAsia="zh-CN"/>
        </w:rPr>
        <w:t>预应力</w:t>
      </w:r>
      <w:r>
        <w:rPr>
          <w:color w:val="auto"/>
          <w:lang w:eastAsia="zh-CN"/>
        </w:rPr>
        <w:t>作用标准值；</w:t>
      </w:r>
    </w:p>
    <w:p w14:paraId="6B8A7071">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WK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W</m:t>
            </m:r>
            <m:ctrlPr>
              <w:rPr>
                <w:rFonts w:ascii="Cambria Math" w:hAnsi="Cambria Math"/>
                <w:color w:val="auto"/>
              </w:rPr>
            </m:ctrlPr>
          </m:sub>
        </m:sSub>
      </m:oMath>
      <w:r>
        <w:rPr>
          <w:color w:val="auto"/>
          <w:lang w:eastAsia="zh-CN"/>
        </w:rPr>
        <w:t xml:space="preserve"> ——风荷载作用标准值和其组合值系数；</w:t>
      </w:r>
    </w:p>
    <w:p w14:paraId="647B94C9">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SK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S</m:t>
            </m:r>
            <m:ctrlPr>
              <w:rPr>
                <w:rFonts w:ascii="Cambria Math" w:hAnsi="Cambria Math"/>
                <w:color w:val="auto"/>
              </w:rPr>
            </m:ctrlPr>
          </m:sub>
        </m:sSub>
      </m:oMath>
      <w:r>
        <w:rPr>
          <w:color w:val="auto"/>
          <w:lang w:eastAsia="zh-CN"/>
        </w:rPr>
        <w:t>——雪荷载作用标准值和其组合值系数；</w:t>
      </w:r>
    </w:p>
    <w:p w14:paraId="3964AA54">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MK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M</m:t>
            </m:r>
            <m:ctrlPr>
              <w:rPr>
                <w:rFonts w:ascii="Cambria Math" w:hAnsi="Cambria Math"/>
                <w:color w:val="auto"/>
              </w:rPr>
            </m:ctrlPr>
          </m:sub>
        </m:sSub>
      </m:oMath>
      <w:r>
        <w:rPr>
          <w:color w:val="auto"/>
          <w:lang w:eastAsia="zh-CN"/>
        </w:rPr>
        <w:t>——施工检修荷载作用标准值和其组合值系数</w:t>
      </w:r>
      <w:r>
        <w:rPr>
          <w:rFonts w:hint="eastAsia"/>
          <w:color w:val="auto"/>
          <w:lang w:eastAsia="zh-CN"/>
        </w:rPr>
        <w:t>；</w:t>
      </w:r>
    </w:p>
    <w:p w14:paraId="25F1C00E">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tK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t</m:t>
            </m:r>
            <m:ctrlPr>
              <w:rPr>
                <w:rFonts w:ascii="Cambria Math" w:hAnsi="Cambria Math"/>
                <w:color w:val="auto"/>
              </w:rPr>
            </m:ctrlPr>
          </m:sub>
        </m:sSub>
      </m:oMath>
      <w:r>
        <w:rPr>
          <w:color w:val="auto"/>
          <w:lang w:eastAsia="zh-CN"/>
        </w:rPr>
        <w:t>——</w:t>
      </w:r>
      <w:r>
        <w:rPr>
          <w:rFonts w:hint="eastAsia"/>
          <w:color w:val="auto"/>
          <w:lang w:eastAsia="zh-CN"/>
        </w:rPr>
        <w:t>温度作用</w:t>
      </w:r>
      <w:r>
        <w:rPr>
          <w:color w:val="auto"/>
          <w:lang w:eastAsia="zh-CN"/>
        </w:rPr>
        <w:t>作用标准值和其组合值系数</w:t>
      </w:r>
      <w:r>
        <w:rPr>
          <w:rFonts w:hint="eastAsia"/>
          <w:color w:val="auto"/>
          <w:lang w:eastAsia="zh-CN"/>
        </w:rPr>
        <w:t>；</w:t>
      </w:r>
    </w:p>
    <w:p w14:paraId="13738ED3">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G</m:t>
            </m:r>
            <m:ctrlPr>
              <w:rPr>
                <w:rFonts w:ascii="Cambria Math" w:hAnsi="Cambria Math"/>
                <w:color w:val="auto"/>
              </w:rPr>
            </m:ctrlPr>
          </m:sub>
        </m:sSub>
      </m:oMath>
      <w:r>
        <w:rPr>
          <w:color w:val="auto"/>
          <w:lang w:eastAsia="zh-CN"/>
        </w:rPr>
        <w:t xml:space="preserve"> ——永久荷载作用的分项系数</w:t>
      </w:r>
      <w:r>
        <w:rPr>
          <w:rFonts w:hint="eastAsia"/>
          <w:color w:val="auto"/>
          <w:lang w:eastAsia="zh-CN"/>
        </w:rPr>
        <w:t>；</w:t>
      </w:r>
    </w:p>
    <w:p w14:paraId="17676AF0">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P</m:t>
            </m:r>
            <m:ctrlPr>
              <w:rPr>
                <w:rFonts w:ascii="Cambria Math" w:hAnsi="Cambria Math"/>
                <w:color w:val="auto"/>
              </w:rPr>
            </m:ctrlPr>
          </m:sub>
        </m:sSub>
      </m:oMath>
      <w:r>
        <w:rPr>
          <w:color w:val="auto"/>
          <w:lang w:eastAsia="zh-CN"/>
        </w:rPr>
        <w:t xml:space="preserve"> ——</w:t>
      </w:r>
      <w:r>
        <w:rPr>
          <w:rFonts w:hint="eastAsia"/>
          <w:color w:val="auto"/>
          <w:lang w:eastAsia="zh-CN"/>
        </w:rPr>
        <w:t>预应力</w:t>
      </w:r>
      <w:r>
        <w:rPr>
          <w:color w:val="auto"/>
          <w:lang w:eastAsia="zh-CN"/>
        </w:rPr>
        <w:t>作用的分项系数；</w:t>
      </w:r>
    </w:p>
    <w:p w14:paraId="6C75CFE0">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W</m:t>
            </m:r>
            <m:ctrlPr>
              <w:rPr>
                <w:rFonts w:ascii="Cambria Math" w:hAnsi="Cambria Math"/>
                <w:color w:val="auto"/>
              </w:rPr>
            </m:ctrlPr>
          </m:sub>
        </m:sSub>
        <m:r>
          <m:rPr>
            <m:sty m:val="p"/>
          </m:rPr>
          <w:rPr>
            <w:rFonts w:ascii="Cambria Math" w:hAnsi="Cambria Math"/>
            <w:color w:val="auto"/>
            <w:lang w:eastAsia="zh-CN"/>
          </w:rPr>
          <m:t>——</m:t>
        </m:r>
      </m:oMath>
      <w:r>
        <w:rPr>
          <w:color w:val="auto"/>
          <w:lang w:eastAsia="zh-CN"/>
        </w:rPr>
        <w:t>风荷载作用的分项系数；</w:t>
      </w:r>
    </w:p>
    <w:p w14:paraId="3769C818">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S</m:t>
            </m:r>
            <m:ctrlPr>
              <w:rPr>
                <w:rFonts w:ascii="Cambria Math" w:hAnsi="Cambria Math"/>
                <w:color w:val="auto"/>
              </w:rPr>
            </m:ctrlPr>
          </m:sub>
        </m:sSub>
      </m:oMath>
      <w:r>
        <w:rPr>
          <w:color w:val="auto"/>
          <w:lang w:eastAsia="zh-CN"/>
        </w:rPr>
        <w:t>—— 雪荷载作用的分项系数；</w:t>
      </w:r>
    </w:p>
    <w:p w14:paraId="3C685AEE">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M</m:t>
            </m:r>
            <m:ctrlPr>
              <w:rPr>
                <w:rFonts w:ascii="Cambria Math" w:hAnsi="Cambria Math"/>
                <w:color w:val="auto"/>
              </w:rPr>
            </m:ctrlPr>
          </m:sub>
        </m:sSub>
      </m:oMath>
      <w:r>
        <w:rPr>
          <w:color w:val="auto"/>
          <w:lang w:eastAsia="zh-CN"/>
        </w:rPr>
        <w:t xml:space="preserve"> ——施工检修荷载作用的分项系数；</w:t>
      </w:r>
    </w:p>
    <w:p w14:paraId="13242E61">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t</m:t>
            </m:r>
            <m:ctrlPr>
              <w:rPr>
                <w:rFonts w:ascii="Cambria Math" w:hAnsi="Cambria Math"/>
                <w:color w:val="auto"/>
              </w:rPr>
            </m:ctrlPr>
          </m:sub>
        </m:sSub>
      </m:oMath>
      <w:r>
        <w:rPr>
          <w:color w:val="auto"/>
          <w:lang w:eastAsia="zh-CN"/>
        </w:rPr>
        <w:t>——</w:t>
      </w:r>
      <w:r>
        <w:rPr>
          <w:rFonts w:hint="eastAsia"/>
          <w:color w:val="auto"/>
          <w:lang w:eastAsia="zh-CN"/>
        </w:rPr>
        <w:t>温度作用</w:t>
      </w:r>
      <w:r>
        <w:rPr>
          <w:color w:val="auto"/>
          <w:lang w:eastAsia="zh-CN"/>
        </w:rPr>
        <w:t>作用的分项系数；</w:t>
      </w:r>
    </w:p>
    <w:p w14:paraId="5CD63EBE">
      <w:pPr>
        <w:pStyle w:val="29"/>
        <w:pageBreakBefore w:val="0"/>
        <w:widowControl w:val="0"/>
        <w:topLinePunct w:val="0"/>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E</m:t>
            </m:r>
            <m:r>
              <m:rPr>
                <m:sty m:val="p"/>
              </m:rPr>
              <w:rPr>
                <w:rFonts w:hint="eastAsia" w:ascii="Cambria Math" w:hAnsi="Cambria Math"/>
                <w:color w:val="auto"/>
                <w:lang w:eastAsia="zh-CN"/>
              </w:rPr>
              <m:t>h</m:t>
            </m:r>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w:t>
      </w:r>
      <w:r>
        <w:rPr>
          <w:rFonts w:hint="eastAsia"/>
          <w:color w:val="auto"/>
          <w:lang w:eastAsia="zh-CN"/>
        </w:rPr>
        <w:t>水平地震</w:t>
      </w:r>
      <w:r>
        <w:rPr>
          <w:color w:val="auto"/>
          <w:lang w:eastAsia="zh-CN"/>
        </w:rPr>
        <w:t>作用标准值；</w:t>
      </w:r>
    </w:p>
    <w:p w14:paraId="5A7A66F5">
      <w:pPr>
        <w:pStyle w:val="29"/>
        <w:pageBreakBefore w:val="0"/>
        <w:widowControl w:val="0"/>
        <w:topLinePunct w:val="0"/>
        <w:bidi w:val="0"/>
        <w:ind w:firstLine="560" w:firstLineChars="200"/>
        <w:rPr>
          <w:rFonts w:hint="eastAsia"/>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E</m:t>
            </m:r>
            <m:r>
              <m:rPr>
                <m:sty m:val="p"/>
              </m:rPr>
              <w:rPr>
                <w:rFonts w:hint="eastAsia" w:ascii="Cambria Math" w:hAnsi="Cambria Math"/>
                <w:color w:val="auto"/>
                <w:lang w:eastAsia="zh-CN"/>
              </w:rPr>
              <m:t>h</m:t>
            </m:r>
            <m:ctrlPr>
              <w:rPr>
                <w:rFonts w:ascii="Cambria Math" w:hAnsi="Cambria Math"/>
                <w:color w:val="auto"/>
              </w:rPr>
            </m:ctrlPr>
          </m:sub>
        </m:sSub>
      </m:oMath>
      <w:r>
        <w:rPr>
          <w:color w:val="auto"/>
          <w:lang w:eastAsia="zh-CN"/>
        </w:rPr>
        <w:t>——</w:t>
      </w:r>
      <w:r>
        <w:rPr>
          <w:rFonts w:hint="eastAsia"/>
          <w:color w:val="auto"/>
          <w:lang w:eastAsia="zh-CN"/>
        </w:rPr>
        <w:t>水平地震</w:t>
      </w:r>
      <w:r>
        <w:rPr>
          <w:color w:val="auto"/>
          <w:lang w:eastAsia="zh-CN"/>
        </w:rPr>
        <w:t>作用的分项系数</w:t>
      </w:r>
      <w:r>
        <w:rPr>
          <w:rFonts w:hint="eastAsia"/>
          <w:color w:val="auto"/>
          <w:lang w:eastAsia="zh-CN"/>
        </w:rPr>
        <w:t>。</w:t>
      </w:r>
    </w:p>
    <w:p w14:paraId="0917561F">
      <w:pPr>
        <w:pStyle w:val="29"/>
        <w:pageBreakBefore w:val="0"/>
        <w:widowControl w:val="0"/>
        <w:topLinePunct w:val="0"/>
        <w:bidi w:val="0"/>
        <w:ind w:firstLine="560" w:firstLineChars="200"/>
        <w:rPr>
          <w:rFonts w:hint="eastAsia"/>
          <w:color w:val="auto"/>
          <w:lang w:eastAsia="zh-CN"/>
        </w:rPr>
      </w:pPr>
    </w:p>
    <w:p w14:paraId="3302768A">
      <w:pPr>
        <w:pStyle w:val="29"/>
        <w:pageBreakBefore w:val="0"/>
        <w:widowControl w:val="0"/>
        <w:topLinePunct w:val="0"/>
        <w:bidi w:val="0"/>
        <w:ind w:firstLine="560" w:firstLineChars="200"/>
        <w:rPr>
          <w:rFonts w:hint="eastAsia"/>
          <w:color w:val="auto"/>
          <w:lang w:eastAsia="zh-CN"/>
        </w:rPr>
      </w:pPr>
    </w:p>
    <w:p w14:paraId="22709E0D">
      <w:pPr>
        <w:pStyle w:val="29"/>
        <w:pageBreakBefore w:val="0"/>
        <w:widowControl w:val="0"/>
        <w:topLinePunct w:val="0"/>
        <w:bidi w:val="0"/>
        <w:ind w:firstLine="560" w:firstLineChars="200"/>
        <w:rPr>
          <w:rFonts w:hint="eastAsia"/>
          <w:color w:val="auto"/>
          <w:lang w:eastAsia="zh-CN"/>
        </w:rPr>
      </w:pPr>
    </w:p>
    <w:p w14:paraId="2B33F6B3">
      <w:pPr>
        <w:pStyle w:val="29"/>
        <w:pageBreakBefore w:val="0"/>
        <w:widowControl w:val="0"/>
        <w:topLinePunct w:val="0"/>
        <w:bidi w:val="0"/>
        <w:ind w:firstLine="560" w:firstLineChars="200"/>
        <w:rPr>
          <w:rFonts w:hint="eastAsia"/>
          <w:color w:val="auto"/>
          <w:lang w:eastAsia="zh-CN"/>
        </w:rPr>
      </w:pPr>
    </w:p>
    <w:p w14:paraId="3C53489D">
      <w:pPr>
        <w:pStyle w:val="29"/>
        <w:pageBreakBefore w:val="0"/>
        <w:widowControl w:val="0"/>
        <w:topLinePunct w:val="0"/>
        <w:bidi w:val="0"/>
        <w:ind w:firstLine="560" w:firstLineChars="200"/>
        <w:rPr>
          <w:rFonts w:hint="eastAsia"/>
          <w:color w:val="auto"/>
          <w:lang w:eastAsia="zh-CN"/>
        </w:rPr>
      </w:pPr>
    </w:p>
    <w:p w14:paraId="3C05EE9B">
      <w:pPr>
        <w:pStyle w:val="30"/>
        <w:pageBreakBefore w:val="0"/>
        <w:widowControl w:val="0"/>
        <w:topLinePunct w:val="0"/>
        <w:bidi w:val="0"/>
        <w:outlineLvl w:val="0"/>
        <w:rPr>
          <w:color w:val="auto"/>
          <w:lang w:eastAsia="zh-CN"/>
        </w:rPr>
      </w:pPr>
      <w:bookmarkStart w:id="19" w:name="bookmark148"/>
      <w:bookmarkEnd w:id="19"/>
      <w:bookmarkStart w:id="20" w:name="_Toc8177"/>
      <w:bookmarkStart w:id="21" w:name="_Toc15755"/>
      <w:bookmarkStart w:id="22" w:name="_Toc24145"/>
      <w:bookmarkStart w:id="23" w:name="_Toc27360"/>
      <w:bookmarkStart w:id="24" w:name="_Toc23684"/>
      <w:r>
        <w:rPr>
          <w:rFonts w:hint="eastAsia"/>
          <w:b/>
          <w:bCs/>
          <w:color w:val="auto"/>
          <w:lang w:val="en-US" w:eastAsia="zh-CN"/>
        </w:rPr>
        <w:t>3</w:t>
      </w:r>
      <w:r>
        <w:rPr>
          <w:rFonts w:hint="eastAsia" w:ascii="宋体" w:hAnsi="宋体" w:cs="宋体"/>
          <w:bCs/>
          <w:color w:val="auto"/>
          <w:kern w:val="44"/>
          <w:szCs w:val="44"/>
        </w:rPr>
        <w:t>　</w:t>
      </w:r>
      <w:r>
        <w:rPr>
          <w:rFonts w:hint="eastAsia"/>
          <w:color w:val="auto"/>
          <w:lang w:eastAsia="zh-CN"/>
        </w:rPr>
        <w:t>基本规定</w:t>
      </w:r>
      <w:bookmarkEnd w:id="20"/>
      <w:bookmarkEnd w:id="21"/>
      <w:bookmarkEnd w:id="22"/>
      <w:bookmarkEnd w:id="23"/>
      <w:bookmarkEnd w:id="24"/>
    </w:p>
    <w:p w14:paraId="27663A57">
      <w:pPr>
        <w:pStyle w:val="29"/>
        <w:pageBreakBefore w:val="0"/>
        <w:widowControl w:val="0"/>
        <w:topLinePunct w:val="0"/>
        <w:bidi w:val="0"/>
        <w:rPr>
          <w:rFonts w:hint="eastAsia"/>
          <w:color w:val="auto"/>
          <w:lang w:eastAsia="zh-CN"/>
        </w:rPr>
      </w:pPr>
      <w:r>
        <w:rPr>
          <w:rFonts w:hint="eastAsia"/>
          <w:b/>
          <w:bCs/>
          <w:color w:val="auto"/>
          <w:lang w:val="en-US" w:eastAsia="zh-CN"/>
        </w:rPr>
        <w:t>3. 0. 1</w:t>
      </w:r>
      <w:r>
        <w:rPr>
          <w:rFonts w:hint="eastAsia"/>
          <w:color w:val="auto"/>
        </w:rPr>
        <w:t>　</w:t>
      </w:r>
      <w:r>
        <w:rPr>
          <w:rFonts w:hint="eastAsia"/>
          <w:color w:val="auto"/>
          <w:lang w:eastAsia="zh-CN"/>
        </w:rPr>
        <w:t>山地光伏电站设计应满足安全可靠、经济适用、智能先进、环保、便于安装和维护的要求，优先采用新技术、新工艺、新设备、新材料。</w:t>
      </w:r>
    </w:p>
    <w:p w14:paraId="1BDC1AC5">
      <w:pPr>
        <w:pStyle w:val="29"/>
        <w:pageBreakBefore w:val="0"/>
        <w:widowControl w:val="0"/>
        <w:topLinePunct w:val="0"/>
        <w:bidi w:val="0"/>
        <w:rPr>
          <w:color w:val="auto"/>
          <w:lang w:eastAsia="zh-CN"/>
        </w:rPr>
      </w:pPr>
      <w:r>
        <w:rPr>
          <w:rFonts w:hint="eastAsia"/>
          <w:b/>
          <w:bCs/>
          <w:color w:val="auto"/>
          <w:lang w:val="en-US" w:eastAsia="zh-CN"/>
        </w:rPr>
        <w:t>3. 0. 2</w:t>
      </w:r>
      <w:r>
        <w:rPr>
          <w:rFonts w:hint="eastAsia"/>
          <w:color w:val="auto"/>
        </w:rPr>
        <w:t>　</w:t>
      </w:r>
      <w:r>
        <w:rPr>
          <w:rFonts w:hint="eastAsia"/>
          <w:color w:val="auto"/>
          <w:lang w:eastAsia="zh-CN"/>
        </w:rPr>
        <w:t>大、中型山地光伏电站应根据场区地块分布特点装设不少于一套太阳能辐射现场观测装置。</w:t>
      </w:r>
    </w:p>
    <w:p w14:paraId="29321114">
      <w:pPr>
        <w:pStyle w:val="29"/>
        <w:pageBreakBefore w:val="0"/>
        <w:widowControl w:val="0"/>
        <w:topLinePunct w:val="0"/>
        <w:bidi w:val="0"/>
        <w:rPr>
          <w:color w:val="auto"/>
          <w:lang w:eastAsia="zh-CN"/>
        </w:rPr>
      </w:pPr>
      <w:r>
        <w:rPr>
          <w:rFonts w:hint="eastAsia"/>
          <w:b/>
          <w:bCs/>
          <w:color w:val="auto"/>
          <w:lang w:val="en-US" w:eastAsia="zh-CN"/>
        </w:rPr>
        <w:t>3. 0. 3</w:t>
      </w:r>
      <w:r>
        <w:rPr>
          <w:rFonts w:hint="eastAsia"/>
          <w:color w:val="auto"/>
        </w:rPr>
        <w:t>　</w:t>
      </w:r>
      <w:r>
        <w:rPr>
          <w:rFonts w:hint="eastAsia"/>
          <w:color w:val="auto"/>
          <w:lang w:eastAsia="zh-CN"/>
        </w:rPr>
        <w:t>山地光伏电站规模等级划分执行现行国家标准《</w:t>
      </w:r>
      <w:r>
        <w:rPr>
          <w:rFonts w:hint="eastAsia"/>
          <w:color w:val="auto"/>
          <w:lang w:val="en-US" w:eastAsia="zh-CN"/>
        </w:rPr>
        <w:t>光伏发电站设计 标准</w:t>
      </w:r>
      <w:r>
        <w:rPr>
          <w:rFonts w:hint="eastAsia"/>
          <w:color w:val="auto"/>
          <w:lang w:eastAsia="zh-CN"/>
        </w:rPr>
        <w:t>》GB</w:t>
      </w:r>
      <w:r>
        <w:rPr>
          <w:rFonts w:hint="eastAsia"/>
          <w:color w:val="auto"/>
          <w:lang w:val="en-US" w:eastAsia="zh-CN"/>
        </w:rPr>
        <w:t xml:space="preserve"> </w:t>
      </w:r>
      <w:r>
        <w:rPr>
          <w:rFonts w:hint="eastAsia"/>
          <w:color w:val="auto"/>
          <w:lang w:eastAsia="zh-CN"/>
        </w:rPr>
        <w:t>50797的规定：</w:t>
      </w:r>
    </w:p>
    <w:p w14:paraId="53E5E2B1">
      <w:pPr>
        <w:pStyle w:val="29"/>
        <w:pageBreakBefore w:val="0"/>
        <w:widowControl w:val="0"/>
        <w:topLinePunct w:val="0"/>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eastAsia="zh-CN"/>
        </w:rPr>
        <w:t>小型光伏电站：额定容量小于或等于6MW；</w:t>
      </w:r>
    </w:p>
    <w:p w14:paraId="437A8E58">
      <w:pPr>
        <w:pStyle w:val="29"/>
        <w:pageBreakBefore w:val="0"/>
        <w:widowControl w:val="0"/>
        <w:topLinePunct w:val="0"/>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中型光伏电站：额定容量大于6MW且小于或等于50MW；</w:t>
      </w:r>
    </w:p>
    <w:p w14:paraId="0C1B315E">
      <w:pPr>
        <w:pStyle w:val="29"/>
        <w:pageBreakBefore w:val="0"/>
        <w:widowControl w:val="0"/>
        <w:topLinePunct w:val="0"/>
        <w:bidi w:val="0"/>
        <w:ind w:firstLine="562" w:firstLineChars="200"/>
        <w:rPr>
          <w:color w:val="auto"/>
          <w:lang w:eastAsia="zh-CN"/>
        </w:rPr>
      </w:pPr>
      <w:r>
        <w:rPr>
          <w:rFonts w:hint="eastAsia"/>
          <w:b/>
          <w:bCs/>
          <w:color w:val="auto"/>
          <w:lang w:eastAsia="zh-CN"/>
        </w:rPr>
        <w:t>3</w:t>
      </w:r>
      <w:r>
        <w:rPr>
          <w:rFonts w:hint="eastAsia"/>
          <w:color w:val="auto"/>
        </w:rPr>
        <w:t>　</w:t>
      </w:r>
      <w:r>
        <w:rPr>
          <w:rFonts w:hint="eastAsia"/>
          <w:color w:val="auto"/>
          <w:lang w:eastAsia="zh-CN"/>
        </w:rPr>
        <w:t>大型光伏电站：额定容量大于50MW。</w:t>
      </w:r>
    </w:p>
    <w:p w14:paraId="16711F60">
      <w:pPr>
        <w:pStyle w:val="29"/>
        <w:pageBreakBefore w:val="0"/>
        <w:widowControl w:val="0"/>
        <w:topLinePunct w:val="0"/>
        <w:bidi w:val="0"/>
        <w:rPr>
          <w:color w:val="auto"/>
          <w:lang w:eastAsia="zh-CN"/>
        </w:rPr>
      </w:pPr>
      <w:r>
        <w:rPr>
          <w:rFonts w:hint="eastAsia"/>
          <w:b/>
          <w:bCs/>
          <w:color w:val="auto"/>
          <w:lang w:val="en-US" w:eastAsia="zh-CN"/>
        </w:rPr>
        <w:t>3. 0. 4</w:t>
      </w:r>
      <w:r>
        <w:rPr>
          <w:rFonts w:hint="eastAsia"/>
          <w:color w:val="auto"/>
        </w:rPr>
        <w:t>　</w:t>
      </w:r>
      <w:r>
        <w:rPr>
          <w:rFonts w:hint="eastAsia"/>
          <w:color w:val="auto"/>
          <w:lang w:eastAsia="zh-CN"/>
        </w:rPr>
        <w:t>山地光伏电站设计时应对站址及其周围区域的工程地质情况进行勘探和调查，查明站址的地形地貌特征、结构和主要地层的分布及物理力学性质、地下水条件等。</w:t>
      </w:r>
    </w:p>
    <w:p w14:paraId="0E0BCAE5">
      <w:pPr>
        <w:pStyle w:val="29"/>
        <w:pageBreakBefore w:val="0"/>
        <w:widowControl w:val="0"/>
        <w:topLinePunct w:val="0"/>
        <w:bidi w:val="0"/>
        <w:rPr>
          <w:rFonts w:hint="eastAsia"/>
          <w:color w:val="auto"/>
          <w:lang w:eastAsia="zh-CN"/>
        </w:rPr>
      </w:pPr>
      <w:r>
        <w:rPr>
          <w:rFonts w:hint="eastAsia"/>
          <w:b/>
          <w:bCs/>
          <w:color w:val="auto"/>
          <w:lang w:val="en-US" w:eastAsia="zh-CN"/>
        </w:rPr>
        <w:t>3. 0. 5</w:t>
      </w:r>
      <w:r>
        <w:rPr>
          <w:rFonts w:hint="eastAsia"/>
          <w:color w:val="auto"/>
        </w:rPr>
        <w:t>　</w:t>
      </w:r>
      <w:r>
        <w:rPr>
          <w:rFonts w:hint="eastAsia"/>
          <w:color w:val="auto"/>
          <w:lang w:eastAsia="zh-CN"/>
        </w:rPr>
        <w:t>山地光伏电站设计应符合国家及云南省光伏复合型项目政策要求，山地光伏阵列用地指标应按安装容量计算，</w:t>
      </w:r>
      <w:r>
        <w:rPr>
          <w:rFonts w:hint="eastAsia"/>
          <w:color w:val="auto"/>
          <w:lang w:val="en-US" w:eastAsia="zh-CN"/>
        </w:rPr>
        <w:t>并</w:t>
      </w:r>
      <w:r>
        <w:rPr>
          <w:rFonts w:hint="eastAsia"/>
          <w:color w:val="auto"/>
          <w:lang w:eastAsia="zh-CN"/>
        </w:rPr>
        <w:t>应符合</w:t>
      </w:r>
      <w:r>
        <w:rPr>
          <w:rFonts w:hint="eastAsia"/>
          <w:color w:val="auto"/>
          <w:lang w:val="en-US" w:eastAsia="zh-CN"/>
        </w:rPr>
        <w:t>现行行业标准</w:t>
      </w:r>
      <w:r>
        <w:rPr>
          <w:rFonts w:hint="eastAsia"/>
          <w:color w:val="auto"/>
          <w:lang w:eastAsia="zh-CN"/>
        </w:rPr>
        <w:t>《光伏发电站工程项目用地控制指标》TD/T 1075规定。</w:t>
      </w:r>
    </w:p>
    <w:p w14:paraId="00F69097">
      <w:pPr>
        <w:pStyle w:val="29"/>
        <w:pageBreakBefore w:val="0"/>
        <w:widowControl w:val="0"/>
        <w:topLinePunct w:val="0"/>
        <w:bidi w:val="0"/>
        <w:rPr>
          <w:rFonts w:hint="eastAsia"/>
          <w:color w:val="auto"/>
          <w:lang w:eastAsia="zh-CN"/>
        </w:rPr>
      </w:pPr>
    </w:p>
    <w:p w14:paraId="7031ED9B">
      <w:pPr>
        <w:pStyle w:val="29"/>
        <w:pageBreakBefore w:val="0"/>
        <w:widowControl w:val="0"/>
        <w:topLinePunct w:val="0"/>
        <w:bidi w:val="0"/>
        <w:rPr>
          <w:rFonts w:hint="eastAsia"/>
          <w:color w:val="auto"/>
          <w:lang w:eastAsia="zh-CN"/>
        </w:rPr>
      </w:pPr>
    </w:p>
    <w:p w14:paraId="254F5F47">
      <w:pPr>
        <w:pStyle w:val="29"/>
        <w:pageBreakBefore w:val="0"/>
        <w:widowControl w:val="0"/>
        <w:topLinePunct w:val="0"/>
        <w:bidi w:val="0"/>
        <w:rPr>
          <w:rFonts w:hint="eastAsia"/>
          <w:color w:val="auto"/>
          <w:lang w:eastAsia="zh-CN"/>
        </w:rPr>
      </w:pPr>
    </w:p>
    <w:p w14:paraId="26BC6482">
      <w:pPr>
        <w:pStyle w:val="29"/>
        <w:pageBreakBefore w:val="0"/>
        <w:widowControl w:val="0"/>
        <w:topLinePunct w:val="0"/>
        <w:bidi w:val="0"/>
        <w:rPr>
          <w:rFonts w:hint="eastAsia"/>
          <w:color w:val="auto"/>
          <w:lang w:eastAsia="zh-CN"/>
        </w:rPr>
      </w:pPr>
    </w:p>
    <w:p w14:paraId="2A737542">
      <w:pPr>
        <w:pStyle w:val="29"/>
        <w:pageBreakBefore w:val="0"/>
        <w:widowControl w:val="0"/>
        <w:topLinePunct w:val="0"/>
        <w:bidi w:val="0"/>
        <w:rPr>
          <w:rFonts w:hint="eastAsia"/>
          <w:color w:val="auto"/>
          <w:lang w:eastAsia="zh-CN"/>
        </w:rPr>
      </w:pPr>
    </w:p>
    <w:p w14:paraId="136A8AF0">
      <w:pPr>
        <w:pStyle w:val="29"/>
        <w:pageBreakBefore w:val="0"/>
        <w:widowControl w:val="0"/>
        <w:topLinePunct w:val="0"/>
        <w:bidi w:val="0"/>
        <w:rPr>
          <w:rFonts w:hint="eastAsia"/>
          <w:color w:val="auto"/>
          <w:lang w:eastAsia="zh-CN"/>
        </w:rPr>
      </w:pPr>
    </w:p>
    <w:p w14:paraId="0E2B4070">
      <w:pPr>
        <w:pStyle w:val="29"/>
        <w:pageBreakBefore w:val="0"/>
        <w:widowControl w:val="0"/>
        <w:topLinePunct w:val="0"/>
        <w:bidi w:val="0"/>
        <w:rPr>
          <w:rFonts w:hint="eastAsia"/>
          <w:color w:val="auto"/>
          <w:lang w:eastAsia="zh-CN"/>
        </w:rPr>
      </w:pPr>
    </w:p>
    <w:p w14:paraId="6303AE6C">
      <w:pPr>
        <w:pStyle w:val="29"/>
        <w:pageBreakBefore w:val="0"/>
        <w:widowControl w:val="0"/>
        <w:topLinePunct w:val="0"/>
        <w:bidi w:val="0"/>
        <w:rPr>
          <w:rFonts w:hint="eastAsia"/>
          <w:color w:val="auto"/>
          <w:lang w:eastAsia="zh-CN"/>
        </w:rPr>
      </w:pPr>
    </w:p>
    <w:p w14:paraId="17F4BEFC">
      <w:pPr>
        <w:pageBreakBefore w:val="0"/>
        <w:widowControl w:val="0"/>
        <w:topLinePunct w:val="0"/>
        <w:bidi w:val="0"/>
        <w:rPr>
          <w:color w:val="auto"/>
          <w:lang w:eastAsia="zh-CN"/>
        </w:rPr>
      </w:pPr>
    </w:p>
    <w:p w14:paraId="0FC07817">
      <w:pPr>
        <w:pStyle w:val="30"/>
        <w:pageBreakBefore w:val="0"/>
        <w:widowControl w:val="0"/>
        <w:topLinePunct w:val="0"/>
        <w:bidi w:val="0"/>
        <w:outlineLvl w:val="0"/>
        <w:rPr>
          <w:color w:val="auto"/>
          <w:lang w:eastAsia="zh-CN"/>
        </w:rPr>
      </w:pPr>
      <w:bookmarkStart w:id="25" w:name="bookmark149"/>
      <w:bookmarkEnd w:id="25"/>
      <w:bookmarkStart w:id="26" w:name="bookmark76"/>
      <w:bookmarkEnd w:id="26"/>
      <w:bookmarkStart w:id="27" w:name="_Toc30813"/>
      <w:bookmarkStart w:id="28" w:name="_Toc25063"/>
      <w:bookmarkStart w:id="29" w:name="_Toc14440"/>
      <w:bookmarkStart w:id="30" w:name="_Toc32079"/>
      <w:r>
        <w:rPr>
          <w:rFonts w:hint="eastAsia"/>
          <w:b/>
          <w:bCs/>
          <w:color w:val="auto"/>
          <w:lang w:val="en-US" w:eastAsia="zh-CN"/>
        </w:rPr>
        <w:t>4</w:t>
      </w:r>
      <w:r>
        <w:rPr>
          <w:rFonts w:hint="eastAsia" w:ascii="宋体" w:hAnsi="宋体" w:cs="宋体"/>
          <w:bCs/>
          <w:color w:val="auto"/>
          <w:kern w:val="44"/>
          <w:szCs w:val="44"/>
        </w:rPr>
        <w:t>　</w:t>
      </w:r>
      <w:r>
        <w:rPr>
          <w:rFonts w:hint="eastAsia"/>
          <w:color w:val="auto"/>
          <w:lang w:eastAsia="zh-CN"/>
        </w:rPr>
        <w:t>站址选择</w:t>
      </w:r>
      <w:bookmarkEnd w:id="27"/>
      <w:bookmarkEnd w:id="28"/>
      <w:bookmarkEnd w:id="29"/>
      <w:bookmarkEnd w:id="30"/>
    </w:p>
    <w:p w14:paraId="355E9ABA">
      <w:pPr>
        <w:pStyle w:val="29"/>
        <w:pageBreakBefore w:val="0"/>
        <w:widowControl w:val="0"/>
        <w:topLinePunct w:val="0"/>
        <w:bidi w:val="0"/>
        <w:rPr>
          <w:color w:val="auto"/>
          <w:lang w:eastAsia="zh-CN"/>
        </w:rPr>
      </w:pPr>
      <w:r>
        <w:rPr>
          <w:rFonts w:hint="eastAsia"/>
          <w:b/>
          <w:bCs/>
          <w:color w:val="auto"/>
          <w:lang w:val="en-US" w:eastAsia="zh-CN"/>
        </w:rPr>
        <w:t>4. 0. 1</w:t>
      </w:r>
      <w:r>
        <w:rPr>
          <w:rFonts w:hint="eastAsia"/>
          <w:b/>
          <w:bCs/>
          <w:color w:val="auto"/>
        </w:rPr>
        <w:t>　</w:t>
      </w:r>
      <w:r>
        <w:rPr>
          <w:rFonts w:hint="eastAsia"/>
          <w:color w:val="auto"/>
          <w:lang w:eastAsia="zh-CN"/>
        </w:rPr>
        <w:t>山地光伏电</w:t>
      </w:r>
      <w:r>
        <w:rPr>
          <w:rFonts w:hint="eastAsia"/>
          <w:color w:val="auto"/>
          <w:lang w:val="en-US" w:eastAsia="zh-CN"/>
        </w:rPr>
        <w:t>站</w:t>
      </w:r>
      <w:r>
        <w:rPr>
          <w:rFonts w:hint="eastAsia"/>
          <w:color w:val="auto"/>
          <w:lang w:eastAsia="zh-CN"/>
        </w:rPr>
        <w:t>宜连续、成片开发，宜选在地势平缓或北高南低的区域，当选择北向坡度较大区域时应论证经济可行性并采取节约集约用地措施；站址选择应避开泥石流、滑坡等地质灾害易发区；在危岩地带、发震断裂地带、岩溶发育区、采空区、地质塌陷区和坡度超过35°的山地等地区进行选址时，应开展地质灾害现状调查，进行地质灾害危险性评估，并应</w:t>
      </w:r>
      <w:r>
        <w:rPr>
          <w:rFonts w:hint="eastAsia"/>
          <w:color w:val="auto"/>
          <w:lang w:val="en-US" w:eastAsia="zh-CN"/>
        </w:rPr>
        <w:t>在工程设计中</w:t>
      </w:r>
      <w:r>
        <w:rPr>
          <w:rFonts w:hint="eastAsia"/>
          <w:color w:val="auto"/>
          <w:lang w:eastAsia="zh-CN"/>
        </w:rPr>
        <w:t>采取相应的防范措施。</w:t>
      </w:r>
    </w:p>
    <w:p w14:paraId="14FC8E1B">
      <w:pPr>
        <w:pStyle w:val="29"/>
        <w:pageBreakBefore w:val="0"/>
        <w:widowControl w:val="0"/>
        <w:topLinePunct w:val="0"/>
        <w:bidi w:val="0"/>
        <w:rPr>
          <w:color w:val="auto"/>
          <w:lang w:eastAsia="zh-CN"/>
        </w:rPr>
      </w:pPr>
      <w:r>
        <w:rPr>
          <w:rFonts w:hint="eastAsia"/>
          <w:b/>
          <w:bCs/>
          <w:color w:val="auto"/>
          <w:lang w:val="en-US" w:eastAsia="zh-CN"/>
        </w:rPr>
        <w:t>4. 0. 2</w:t>
      </w:r>
      <w:r>
        <w:rPr>
          <w:rFonts w:hint="eastAsia"/>
          <w:b/>
          <w:bCs/>
          <w:color w:val="auto"/>
        </w:rPr>
        <w:t>　</w:t>
      </w:r>
      <w:r>
        <w:rPr>
          <w:rFonts w:hint="eastAsia"/>
          <w:color w:val="auto"/>
          <w:lang w:eastAsia="zh-CN"/>
        </w:rPr>
        <w:t>山地光伏电站选址应结合</w:t>
      </w:r>
      <w:r>
        <w:rPr>
          <w:rFonts w:hint="eastAsia"/>
          <w:color w:val="auto"/>
          <w:lang w:val="en-US" w:eastAsia="zh-CN"/>
        </w:rPr>
        <w:t>土地利用、</w:t>
      </w:r>
      <w:r>
        <w:rPr>
          <w:rFonts w:hint="eastAsia"/>
          <w:color w:val="auto"/>
          <w:lang w:eastAsia="zh-CN"/>
        </w:rPr>
        <w:t>交通运输、管线设施、环境保护、</w:t>
      </w:r>
      <w:r>
        <w:rPr>
          <w:rFonts w:hint="eastAsia"/>
          <w:color w:val="auto"/>
          <w:lang w:val="en-US" w:eastAsia="zh-CN"/>
        </w:rPr>
        <w:t>接入消纳、周围大气腐蚀性等因素</w:t>
      </w:r>
      <w:r>
        <w:rPr>
          <w:rFonts w:hint="eastAsia"/>
          <w:color w:val="auto"/>
          <w:lang w:eastAsia="zh-CN"/>
        </w:rPr>
        <w:t>进行比选，提出经济可行的选址方案。</w:t>
      </w:r>
    </w:p>
    <w:p w14:paraId="62DA25F4">
      <w:pPr>
        <w:pStyle w:val="29"/>
        <w:pageBreakBefore w:val="0"/>
        <w:widowControl w:val="0"/>
        <w:topLinePunct w:val="0"/>
        <w:bidi w:val="0"/>
        <w:rPr>
          <w:color w:val="auto"/>
          <w:lang w:eastAsia="zh-CN"/>
        </w:rPr>
      </w:pPr>
      <w:r>
        <w:rPr>
          <w:rFonts w:hint="eastAsia"/>
          <w:b/>
          <w:bCs/>
          <w:color w:val="auto"/>
          <w:lang w:val="en-US" w:eastAsia="zh-CN"/>
        </w:rPr>
        <w:t>4. 0. 3</w:t>
      </w:r>
      <w:r>
        <w:rPr>
          <w:rFonts w:hint="eastAsia"/>
          <w:b/>
          <w:bCs/>
          <w:color w:val="auto"/>
        </w:rPr>
        <w:t>　</w:t>
      </w:r>
      <w:r>
        <w:rPr>
          <w:rFonts w:hint="eastAsia"/>
          <w:color w:val="auto"/>
          <w:lang w:eastAsia="zh-CN"/>
        </w:rPr>
        <w:t>山地光伏电站选址时，除避让政策和法律规定不允许占用的敏感因素外，应落实征租地可行性及地方潜在不允许占用敏感因素。</w:t>
      </w:r>
    </w:p>
    <w:p w14:paraId="3D93FB02">
      <w:pPr>
        <w:pStyle w:val="29"/>
        <w:pageBreakBefore w:val="0"/>
        <w:widowControl w:val="0"/>
        <w:topLinePunct w:val="0"/>
        <w:bidi w:val="0"/>
        <w:rPr>
          <w:color w:val="auto"/>
          <w:lang w:eastAsia="zh-CN"/>
        </w:rPr>
      </w:pPr>
      <w:r>
        <w:rPr>
          <w:rFonts w:hint="eastAsia"/>
          <w:b/>
          <w:bCs/>
          <w:color w:val="auto"/>
          <w:lang w:val="en-US" w:eastAsia="zh-CN"/>
        </w:rPr>
        <w:t>4. 0. 4</w:t>
      </w:r>
      <w:r>
        <w:rPr>
          <w:rFonts w:hint="eastAsia"/>
          <w:b/>
          <w:bCs/>
          <w:color w:val="auto"/>
        </w:rPr>
        <w:t>　</w:t>
      </w:r>
      <w:r>
        <w:rPr>
          <w:rFonts w:hint="eastAsia"/>
          <w:color w:val="auto"/>
          <w:lang w:eastAsia="zh-CN"/>
        </w:rPr>
        <w:t>山地光伏电站防洪设计应符合下列要求：</w:t>
      </w:r>
    </w:p>
    <w:p w14:paraId="51BBF143">
      <w:pPr>
        <w:pStyle w:val="29"/>
        <w:pageBreakBefore w:val="0"/>
        <w:widowControl w:val="0"/>
        <w:topLinePunct w:val="0"/>
        <w:bidi w:val="0"/>
        <w:ind w:firstLine="562" w:firstLineChars="200"/>
        <w:rPr>
          <w:color w:val="auto"/>
          <w:lang w:eastAsia="zh-CN"/>
        </w:rPr>
      </w:pPr>
      <w:r>
        <w:rPr>
          <w:rFonts w:hint="eastAsia"/>
          <w:b/>
          <w:bCs/>
          <w:color w:val="auto"/>
          <w:lang w:eastAsia="zh-CN"/>
        </w:rPr>
        <w:t>1</w:t>
      </w:r>
      <w:r>
        <w:rPr>
          <w:rFonts w:hint="eastAsia"/>
          <w:b/>
          <w:bCs/>
          <w:color w:val="auto"/>
        </w:rPr>
        <w:t>　</w:t>
      </w:r>
      <w:r>
        <w:rPr>
          <w:rFonts w:hint="eastAsia"/>
          <w:color w:val="auto"/>
          <w:lang w:eastAsia="zh-CN"/>
        </w:rPr>
        <w:t>山地光伏电站的光伏方阵区按不同规划容量所对应的防洪标准应符合表</w:t>
      </w:r>
      <w:r>
        <w:rPr>
          <w:rFonts w:hint="eastAsia"/>
          <w:b/>
          <w:bCs/>
          <w:color w:val="auto"/>
          <w:lang w:eastAsia="zh-CN"/>
        </w:rPr>
        <w:t>4.</w:t>
      </w:r>
      <w:r>
        <w:rPr>
          <w:rFonts w:hint="eastAsia"/>
          <w:b/>
          <w:bCs/>
          <w:color w:val="auto"/>
          <w:lang w:val="en-US" w:eastAsia="zh-CN"/>
        </w:rPr>
        <w:t xml:space="preserve"> 0</w:t>
      </w:r>
      <w:r>
        <w:rPr>
          <w:rFonts w:hint="eastAsia"/>
          <w:b/>
          <w:bCs/>
          <w:color w:val="auto"/>
          <w:lang w:eastAsia="zh-CN"/>
        </w:rPr>
        <w:t>.</w:t>
      </w:r>
      <w:r>
        <w:rPr>
          <w:rFonts w:hint="eastAsia"/>
          <w:b/>
          <w:bCs/>
          <w:color w:val="auto"/>
          <w:lang w:val="en-US" w:eastAsia="zh-CN"/>
        </w:rPr>
        <w:t xml:space="preserve"> </w:t>
      </w:r>
      <w:r>
        <w:rPr>
          <w:rFonts w:hint="eastAsia"/>
          <w:b/>
          <w:bCs/>
          <w:color w:val="auto"/>
          <w:lang w:eastAsia="zh-CN"/>
        </w:rPr>
        <w:t>4</w:t>
      </w:r>
      <w:r>
        <w:rPr>
          <w:rFonts w:hint="eastAsia"/>
          <w:color w:val="auto"/>
          <w:lang w:eastAsia="zh-CN"/>
        </w:rPr>
        <w:t>的规定。防排洪措施宜在首期工程中按规划额定容量统一规划，分期实施。升压站或开关站及辅助设施区的防洪标准应符合国家现行标准《35kV～110kV变电站设计规范》GB 50059和</w:t>
      </w:r>
      <w:r>
        <w:rPr>
          <w:rFonts w:hint="eastAsia"/>
          <w:color w:val="auto"/>
          <w:lang w:val="en-US" w:eastAsia="zh-CN"/>
        </w:rPr>
        <w:t>现行行业标准</w:t>
      </w:r>
      <w:r>
        <w:rPr>
          <w:rFonts w:hint="eastAsia"/>
          <w:color w:val="auto"/>
          <w:lang w:eastAsia="zh-CN"/>
        </w:rPr>
        <w:t>《变电工程总布置设计规程》DL/T 5056的规定。</w:t>
      </w:r>
    </w:p>
    <w:p w14:paraId="6F6784B2">
      <w:pPr>
        <w:pStyle w:val="29"/>
        <w:pageBreakBefore w:val="0"/>
        <w:widowControl w:val="0"/>
        <w:topLinePunct w:val="0"/>
        <w:bidi w:val="0"/>
        <w:ind w:left="0" w:leftChars="0" w:right="0" w:rightChars="0" w:firstLine="0" w:firstLineChars="0"/>
        <w:jc w:val="center"/>
        <w:rPr>
          <w:rFonts w:hint="eastAsia" w:ascii="黑体" w:hAnsi="黑体" w:eastAsia="黑体" w:cs="黑体"/>
          <w:color w:val="auto"/>
          <w:lang w:eastAsia="zh-CN"/>
        </w:rPr>
      </w:pPr>
      <w:r>
        <w:rPr>
          <w:rFonts w:hint="eastAsia" w:ascii="黑体" w:hAnsi="黑体" w:eastAsia="黑体" w:cs="黑体"/>
          <w:color w:val="auto"/>
          <w:lang w:eastAsia="zh-CN"/>
        </w:rPr>
        <w:t>表</w:t>
      </w:r>
      <w:r>
        <w:rPr>
          <w:rFonts w:hint="default" w:ascii="Times New Roman" w:hAnsi="Times New Roman" w:eastAsia="黑体" w:cs="Times New Roman"/>
          <w:b/>
          <w:bCs/>
          <w:color w:val="auto"/>
          <w:lang w:eastAsia="zh-CN"/>
        </w:rPr>
        <w:t>4.</w:t>
      </w:r>
      <w:r>
        <w:rPr>
          <w:rFonts w:hint="default" w:ascii="Times New Roman" w:hAnsi="Times New Roman" w:eastAsia="黑体" w:cs="Times New Roman"/>
          <w:b/>
          <w:bCs/>
          <w:color w:val="auto"/>
          <w:lang w:val="en-US" w:eastAsia="zh-CN"/>
        </w:rPr>
        <w:t xml:space="preserve"> </w:t>
      </w:r>
      <w:r>
        <w:rPr>
          <w:rFonts w:hint="eastAsia" w:eastAsia="黑体" w:cs="Times New Roman"/>
          <w:b/>
          <w:bCs/>
          <w:color w:val="auto"/>
          <w:lang w:val="en-US" w:eastAsia="zh-CN"/>
        </w:rPr>
        <w:t>0</w:t>
      </w:r>
      <w:r>
        <w:rPr>
          <w:rFonts w:hint="default" w:ascii="Times New Roman" w:hAnsi="Times New Roman" w:eastAsia="黑体" w:cs="Times New Roman"/>
          <w:b/>
          <w:bCs/>
          <w:color w:val="auto"/>
          <w:lang w:eastAsia="zh-CN"/>
        </w:rPr>
        <w:t>.</w:t>
      </w:r>
      <w:r>
        <w:rPr>
          <w:rFonts w:hint="default" w:ascii="Times New Roman" w:hAnsi="Times New Roman" w:eastAsia="黑体" w:cs="Times New Roman"/>
          <w:b/>
          <w:bCs/>
          <w:color w:val="auto"/>
          <w:lang w:val="en-US" w:eastAsia="zh-CN"/>
        </w:rPr>
        <w:t xml:space="preserve"> </w:t>
      </w:r>
      <w:r>
        <w:rPr>
          <w:rFonts w:hint="default" w:ascii="Times New Roman" w:hAnsi="Times New Roman" w:eastAsia="黑体" w:cs="Times New Roman"/>
          <w:b/>
          <w:bCs/>
          <w:color w:val="auto"/>
          <w:lang w:eastAsia="zh-CN"/>
        </w:rPr>
        <w:t>4</w:t>
      </w:r>
      <w:r>
        <w:rPr>
          <w:rFonts w:hint="eastAsia" w:ascii="黑体" w:hAnsi="黑体" w:eastAsia="黑体" w:cs="黑体"/>
          <w:b/>
          <w:bCs/>
          <w:color w:val="auto"/>
        </w:rPr>
        <w:t>　</w:t>
      </w:r>
      <w:r>
        <w:rPr>
          <w:rFonts w:hint="eastAsia" w:ascii="黑体" w:hAnsi="黑体" w:eastAsia="黑体" w:cs="黑体"/>
          <w:color w:val="auto"/>
          <w:lang w:eastAsia="zh-CN"/>
        </w:rPr>
        <w:t>光伏方阵区的防洪标准</w:t>
      </w:r>
    </w:p>
    <w:tbl>
      <w:tblPr>
        <w:tblStyle w:val="24"/>
        <w:tblW w:w="8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315"/>
        <w:gridCol w:w="3208"/>
        <w:gridCol w:w="3434"/>
      </w:tblGrid>
      <w:tr w14:paraId="2D52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trPr>
        <w:tc>
          <w:tcPr>
            <w:tcW w:w="2315" w:type="dxa"/>
            <w:tcBorders>
              <w:tl2br w:val="nil"/>
              <w:tr2bl w:val="nil"/>
            </w:tcBorders>
            <w:vAlign w:val="center"/>
          </w:tcPr>
          <w:p w14:paraId="495D15A3">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防洪等级</w:t>
            </w:r>
          </w:p>
        </w:tc>
        <w:tc>
          <w:tcPr>
            <w:tcW w:w="3208" w:type="dxa"/>
            <w:tcBorders>
              <w:tl2br w:val="nil"/>
              <w:tr2bl w:val="nil"/>
            </w:tcBorders>
            <w:vAlign w:val="center"/>
          </w:tcPr>
          <w:p w14:paraId="0511FD0C">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规划容量（MW）</w:t>
            </w:r>
          </w:p>
        </w:tc>
        <w:tc>
          <w:tcPr>
            <w:tcW w:w="3434" w:type="dxa"/>
            <w:tcBorders>
              <w:tl2br w:val="nil"/>
              <w:tr2bl w:val="nil"/>
            </w:tcBorders>
            <w:vAlign w:val="center"/>
          </w:tcPr>
          <w:p w14:paraId="50512886">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防洪标准（重现期）</w:t>
            </w:r>
          </w:p>
        </w:tc>
      </w:tr>
      <w:tr w14:paraId="05AE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trPr>
        <w:tc>
          <w:tcPr>
            <w:tcW w:w="2315" w:type="dxa"/>
            <w:tcBorders>
              <w:tl2br w:val="nil"/>
              <w:tr2bl w:val="nil"/>
            </w:tcBorders>
            <w:vAlign w:val="center"/>
          </w:tcPr>
          <w:p w14:paraId="4BB98172">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I</w:t>
            </w:r>
          </w:p>
        </w:tc>
        <w:tc>
          <w:tcPr>
            <w:tcW w:w="3208" w:type="dxa"/>
            <w:tcBorders>
              <w:tl2br w:val="nil"/>
              <w:tr2bl w:val="nil"/>
            </w:tcBorders>
            <w:vAlign w:val="center"/>
          </w:tcPr>
          <w:p w14:paraId="4EF71E58">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&gt;500</w:t>
            </w:r>
          </w:p>
        </w:tc>
        <w:tc>
          <w:tcPr>
            <w:tcW w:w="3434" w:type="dxa"/>
            <w:tcBorders>
              <w:tl2br w:val="nil"/>
              <w:tr2bl w:val="nil"/>
            </w:tcBorders>
            <w:vAlign w:val="center"/>
          </w:tcPr>
          <w:p w14:paraId="6728DDD4">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≥50年</w:t>
            </w:r>
          </w:p>
        </w:tc>
      </w:tr>
      <w:tr w14:paraId="4820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trPr>
        <w:tc>
          <w:tcPr>
            <w:tcW w:w="2315" w:type="dxa"/>
            <w:tcBorders>
              <w:tl2br w:val="nil"/>
              <w:tr2bl w:val="nil"/>
            </w:tcBorders>
            <w:vAlign w:val="center"/>
          </w:tcPr>
          <w:p w14:paraId="420134FC">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Ⅱ</w:t>
            </w:r>
          </w:p>
        </w:tc>
        <w:tc>
          <w:tcPr>
            <w:tcW w:w="3208" w:type="dxa"/>
            <w:tcBorders>
              <w:tl2br w:val="nil"/>
              <w:tr2bl w:val="nil"/>
            </w:tcBorders>
            <w:vAlign w:val="center"/>
          </w:tcPr>
          <w:p w14:paraId="2C566B73">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≤500</w:t>
            </w:r>
          </w:p>
        </w:tc>
        <w:tc>
          <w:tcPr>
            <w:tcW w:w="3434" w:type="dxa"/>
            <w:tcBorders>
              <w:tl2br w:val="nil"/>
              <w:tr2bl w:val="nil"/>
            </w:tcBorders>
            <w:vAlign w:val="center"/>
          </w:tcPr>
          <w:p w14:paraId="3BD8B191">
            <w:pPr>
              <w:pStyle w:val="29"/>
              <w:pageBreakBefore w:val="0"/>
              <w:widowControl w:val="0"/>
              <w:topLinePunct w:val="0"/>
              <w:bidi w:val="0"/>
              <w:spacing w:line="240" w:lineRule="auto"/>
              <w:ind w:left="0" w:leftChars="0" w:right="0" w:rightChars="0" w:firstLine="0" w:firstLineChars="0"/>
              <w:jc w:val="center"/>
              <w:rPr>
                <w:color w:val="auto"/>
                <w:lang w:eastAsia="zh-CN"/>
              </w:rPr>
            </w:pPr>
            <w:r>
              <w:rPr>
                <w:rFonts w:hint="eastAsia"/>
                <w:color w:val="auto"/>
                <w:lang w:eastAsia="zh-CN"/>
              </w:rPr>
              <w:t>≥30年</w:t>
            </w:r>
          </w:p>
        </w:tc>
      </w:tr>
    </w:tbl>
    <w:p w14:paraId="52AEFC37">
      <w:pPr>
        <w:pStyle w:val="29"/>
        <w:keepNext w:val="0"/>
        <w:keepLines w:val="0"/>
        <w:pageBreakBefore w:val="0"/>
        <w:widowControl w:val="0"/>
        <w:kinsoku w:val="0"/>
        <w:wordWrap/>
        <w:overflowPunct/>
        <w:topLinePunct w:val="0"/>
        <w:autoSpaceDE/>
        <w:autoSpaceDN/>
        <w:bidi w:val="0"/>
        <w:adjustRightInd w:val="0"/>
        <w:snapToGrid w:val="0"/>
        <w:spacing w:before="0" w:beforeLines="50"/>
        <w:ind w:firstLine="562" w:firstLineChars="200"/>
        <w:textAlignment w:val="baseline"/>
        <w:rPr>
          <w:color w:val="auto"/>
          <w:lang w:eastAsia="zh-CN"/>
        </w:rPr>
      </w:pPr>
      <w:r>
        <w:rPr>
          <w:rFonts w:hint="eastAsia"/>
          <w:b/>
          <w:bCs/>
          <w:color w:val="auto"/>
          <w:lang w:eastAsia="zh-CN"/>
        </w:rPr>
        <w:t>2</w:t>
      </w:r>
      <w:r>
        <w:rPr>
          <w:rFonts w:hint="eastAsia"/>
          <w:b/>
          <w:bCs/>
          <w:color w:val="auto"/>
        </w:rPr>
        <w:t>　</w:t>
      </w:r>
      <w:r>
        <w:rPr>
          <w:rFonts w:hint="eastAsia"/>
          <w:color w:val="auto"/>
          <w:lang w:eastAsia="zh-CN"/>
        </w:rPr>
        <w:t>山地光伏电站有洪水威胁的区域应设防山洪和排山洪的措施。</w:t>
      </w:r>
    </w:p>
    <w:p w14:paraId="5782E293">
      <w:pPr>
        <w:pStyle w:val="29"/>
        <w:pageBreakBefore w:val="0"/>
        <w:widowControl w:val="0"/>
        <w:topLinePunct w:val="0"/>
        <w:bidi w:val="0"/>
        <w:ind w:firstLine="562" w:firstLineChars="200"/>
        <w:rPr>
          <w:rFonts w:hint="eastAsia"/>
          <w:color w:val="auto"/>
          <w:lang w:eastAsia="zh-CN"/>
        </w:rPr>
      </w:pPr>
      <w:r>
        <w:rPr>
          <w:rFonts w:hint="eastAsia"/>
          <w:b/>
          <w:bCs/>
          <w:color w:val="auto"/>
          <w:lang w:eastAsia="zh-CN"/>
        </w:rPr>
        <w:t>3</w:t>
      </w:r>
      <w:r>
        <w:rPr>
          <w:rFonts w:hint="eastAsia"/>
          <w:b/>
          <w:bCs/>
          <w:color w:val="auto"/>
        </w:rPr>
        <w:t>　</w:t>
      </w:r>
      <w:r>
        <w:rPr>
          <w:rFonts w:hint="eastAsia"/>
          <w:color w:val="auto"/>
          <w:lang w:eastAsia="zh-CN"/>
        </w:rPr>
        <w:t>山地光伏电站当光伏阵列区不设置防排洪设施时，光伏阵列区电气设备底标高和建筑物室内地坪标高应按本标准表</w:t>
      </w:r>
      <w:r>
        <w:rPr>
          <w:rFonts w:hint="eastAsia"/>
          <w:b/>
          <w:bCs/>
          <w:color w:val="auto"/>
          <w:lang w:eastAsia="zh-CN"/>
        </w:rPr>
        <w:t>4.</w:t>
      </w:r>
      <w:r>
        <w:rPr>
          <w:rFonts w:hint="eastAsia"/>
          <w:b/>
          <w:bCs/>
          <w:color w:val="auto"/>
          <w:lang w:val="en-US" w:eastAsia="zh-CN"/>
        </w:rPr>
        <w:t xml:space="preserve"> 0</w:t>
      </w:r>
      <w:r>
        <w:rPr>
          <w:rFonts w:hint="eastAsia"/>
          <w:b/>
          <w:bCs/>
          <w:color w:val="auto"/>
          <w:lang w:eastAsia="zh-CN"/>
        </w:rPr>
        <w:t>.</w:t>
      </w:r>
      <w:r>
        <w:rPr>
          <w:rFonts w:hint="eastAsia"/>
          <w:b/>
          <w:bCs/>
          <w:color w:val="auto"/>
          <w:lang w:val="en-US" w:eastAsia="zh-CN"/>
        </w:rPr>
        <w:t xml:space="preserve"> </w:t>
      </w:r>
      <w:r>
        <w:rPr>
          <w:rFonts w:hint="eastAsia"/>
          <w:b/>
          <w:bCs/>
          <w:color w:val="auto"/>
          <w:lang w:eastAsia="zh-CN"/>
        </w:rPr>
        <w:t>4</w:t>
      </w:r>
      <w:r>
        <w:rPr>
          <w:rFonts w:hint="eastAsia"/>
          <w:color w:val="auto"/>
          <w:lang w:eastAsia="zh-CN"/>
        </w:rPr>
        <w:t>中防洪标准或30年一遇最高内涝水位加上0.5m安全超高确定，当两者有差异时，应选两者高值。</w:t>
      </w:r>
    </w:p>
    <w:p w14:paraId="2D222C45">
      <w:pPr>
        <w:pStyle w:val="29"/>
        <w:pageBreakBefore w:val="0"/>
        <w:widowControl w:val="0"/>
        <w:topLinePunct w:val="0"/>
        <w:bidi w:val="0"/>
        <w:ind w:firstLine="560" w:firstLineChars="200"/>
        <w:rPr>
          <w:rFonts w:hint="eastAsia"/>
          <w:color w:val="auto"/>
          <w:lang w:eastAsia="zh-CN"/>
        </w:rPr>
      </w:pPr>
    </w:p>
    <w:p w14:paraId="60F597A8">
      <w:pPr>
        <w:pStyle w:val="29"/>
        <w:pageBreakBefore w:val="0"/>
        <w:widowControl w:val="0"/>
        <w:topLinePunct w:val="0"/>
        <w:bidi w:val="0"/>
        <w:ind w:firstLine="560" w:firstLineChars="200"/>
        <w:rPr>
          <w:rFonts w:hint="eastAsia"/>
          <w:color w:val="auto"/>
          <w:lang w:eastAsia="zh-CN"/>
        </w:rPr>
      </w:pPr>
    </w:p>
    <w:p w14:paraId="76BEC7CA">
      <w:pPr>
        <w:pStyle w:val="29"/>
        <w:pageBreakBefore w:val="0"/>
        <w:widowControl w:val="0"/>
        <w:topLinePunct w:val="0"/>
        <w:bidi w:val="0"/>
        <w:ind w:firstLine="560" w:firstLineChars="200"/>
        <w:rPr>
          <w:rFonts w:hint="eastAsia"/>
          <w:color w:val="auto"/>
          <w:lang w:eastAsia="zh-CN"/>
        </w:rPr>
      </w:pPr>
    </w:p>
    <w:p w14:paraId="366E341F">
      <w:pPr>
        <w:pStyle w:val="29"/>
        <w:pageBreakBefore w:val="0"/>
        <w:widowControl w:val="0"/>
        <w:topLinePunct w:val="0"/>
        <w:bidi w:val="0"/>
        <w:ind w:firstLine="560" w:firstLineChars="200"/>
        <w:rPr>
          <w:rFonts w:hint="eastAsia"/>
          <w:color w:val="auto"/>
          <w:lang w:eastAsia="zh-CN"/>
        </w:rPr>
      </w:pPr>
    </w:p>
    <w:p w14:paraId="0294D545">
      <w:pPr>
        <w:pStyle w:val="29"/>
        <w:pageBreakBefore w:val="0"/>
        <w:widowControl w:val="0"/>
        <w:topLinePunct w:val="0"/>
        <w:bidi w:val="0"/>
        <w:ind w:firstLine="560" w:firstLineChars="200"/>
        <w:rPr>
          <w:rFonts w:hint="eastAsia"/>
          <w:color w:val="auto"/>
          <w:lang w:eastAsia="zh-CN"/>
        </w:rPr>
      </w:pPr>
    </w:p>
    <w:p w14:paraId="683010A8">
      <w:pPr>
        <w:pStyle w:val="29"/>
        <w:pageBreakBefore w:val="0"/>
        <w:widowControl w:val="0"/>
        <w:topLinePunct w:val="0"/>
        <w:bidi w:val="0"/>
        <w:ind w:firstLine="560" w:firstLineChars="200"/>
        <w:rPr>
          <w:rFonts w:hint="eastAsia"/>
          <w:color w:val="auto"/>
          <w:lang w:eastAsia="zh-CN"/>
        </w:rPr>
      </w:pPr>
    </w:p>
    <w:p w14:paraId="4CF04631">
      <w:pPr>
        <w:pStyle w:val="29"/>
        <w:pageBreakBefore w:val="0"/>
        <w:widowControl w:val="0"/>
        <w:topLinePunct w:val="0"/>
        <w:bidi w:val="0"/>
        <w:ind w:firstLine="560" w:firstLineChars="200"/>
        <w:rPr>
          <w:rFonts w:hint="eastAsia"/>
          <w:color w:val="auto"/>
          <w:lang w:eastAsia="zh-CN"/>
        </w:rPr>
      </w:pPr>
    </w:p>
    <w:p w14:paraId="2EAAD95F">
      <w:pPr>
        <w:pStyle w:val="29"/>
        <w:pageBreakBefore w:val="0"/>
        <w:widowControl w:val="0"/>
        <w:topLinePunct w:val="0"/>
        <w:bidi w:val="0"/>
        <w:ind w:firstLine="560" w:firstLineChars="200"/>
        <w:rPr>
          <w:rFonts w:hint="eastAsia"/>
          <w:color w:val="auto"/>
          <w:lang w:eastAsia="zh-CN"/>
        </w:rPr>
      </w:pPr>
    </w:p>
    <w:p w14:paraId="098ED2EA">
      <w:pPr>
        <w:pStyle w:val="29"/>
        <w:pageBreakBefore w:val="0"/>
        <w:widowControl w:val="0"/>
        <w:topLinePunct w:val="0"/>
        <w:bidi w:val="0"/>
        <w:ind w:firstLine="560" w:firstLineChars="200"/>
        <w:rPr>
          <w:rFonts w:hint="eastAsia"/>
          <w:color w:val="auto"/>
          <w:lang w:eastAsia="zh-CN"/>
        </w:rPr>
      </w:pPr>
    </w:p>
    <w:p w14:paraId="4BF16963">
      <w:pPr>
        <w:pStyle w:val="29"/>
        <w:pageBreakBefore w:val="0"/>
        <w:widowControl w:val="0"/>
        <w:topLinePunct w:val="0"/>
        <w:bidi w:val="0"/>
        <w:ind w:firstLine="560" w:firstLineChars="200"/>
        <w:rPr>
          <w:rFonts w:hint="eastAsia"/>
          <w:color w:val="auto"/>
          <w:lang w:eastAsia="zh-CN"/>
        </w:rPr>
      </w:pPr>
    </w:p>
    <w:p w14:paraId="672E013A">
      <w:pPr>
        <w:pStyle w:val="29"/>
        <w:pageBreakBefore w:val="0"/>
        <w:widowControl w:val="0"/>
        <w:topLinePunct w:val="0"/>
        <w:bidi w:val="0"/>
        <w:ind w:firstLine="560" w:firstLineChars="200"/>
        <w:rPr>
          <w:rFonts w:hint="eastAsia"/>
          <w:color w:val="auto"/>
          <w:lang w:eastAsia="zh-CN"/>
        </w:rPr>
      </w:pPr>
    </w:p>
    <w:p w14:paraId="4AAE538B">
      <w:pPr>
        <w:pStyle w:val="29"/>
        <w:pageBreakBefore w:val="0"/>
        <w:widowControl w:val="0"/>
        <w:topLinePunct w:val="0"/>
        <w:bidi w:val="0"/>
        <w:ind w:firstLine="560" w:firstLineChars="200"/>
        <w:rPr>
          <w:rFonts w:hint="eastAsia"/>
          <w:color w:val="auto"/>
          <w:lang w:eastAsia="zh-CN"/>
        </w:rPr>
      </w:pPr>
    </w:p>
    <w:p w14:paraId="1864E37C">
      <w:pPr>
        <w:pStyle w:val="29"/>
        <w:pageBreakBefore w:val="0"/>
        <w:widowControl w:val="0"/>
        <w:topLinePunct w:val="0"/>
        <w:bidi w:val="0"/>
        <w:ind w:firstLine="560" w:firstLineChars="200"/>
        <w:rPr>
          <w:rFonts w:hint="eastAsia"/>
          <w:color w:val="auto"/>
          <w:lang w:eastAsia="zh-CN"/>
        </w:rPr>
      </w:pPr>
    </w:p>
    <w:p w14:paraId="787079EC">
      <w:pPr>
        <w:pStyle w:val="29"/>
        <w:pageBreakBefore w:val="0"/>
        <w:widowControl w:val="0"/>
        <w:topLinePunct w:val="0"/>
        <w:bidi w:val="0"/>
        <w:ind w:firstLine="560" w:firstLineChars="200"/>
        <w:rPr>
          <w:rFonts w:hint="eastAsia"/>
          <w:color w:val="auto"/>
          <w:lang w:eastAsia="zh-CN"/>
        </w:rPr>
      </w:pPr>
    </w:p>
    <w:p w14:paraId="09086C3D">
      <w:pPr>
        <w:pStyle w:val="29"/>
        <w:pageBreakBefore w:val="0"/>
        <w:widowControl w:val="0"/>
        <w:topLinePunct w:val="0"/>
        <w:bidi w:val="0"/>
        <w:ind w:firstLine="560" w:firstLineChars="200"/>
        <w:rPr>
          <w:rFonts w:hint="eastAsia"/>
          <w:color w:val="auto"/>
          <w:lang w:eastAsia="zh-CN"/>
        </w:rPr>
      </w:pPr>
    </w:p>
    <w:p w14:paraId="126FADB8">
      <w:pPr>
        <w:pStyle w:val="29"/>
        <w:pageBreakBefore w:val="0"/>
        <w:widowControl w:val="0"/>
        <w:topLinePunct w:val="0"/>
        <w:bidi w:val="0"/>
        <w:ind w:firstLine="560" w:firstLineChars="200"/>
        <w:rPr>
          <w:rFonts w:hint="eastAsia"/>
          <w:color w:val="auto"/>
          <w:lang w:eastAsia="zh-CN"/>
        </w:rPr>
      </w:pPr>
    </w:p>
    <w:p w14:paraId="4DEF2938">
      <w:pPr>
        <w:pStyle w:val="29"/>
        <w:pageBreakBefore w:val="0"/>
        <w:widowControl w:val="0"/>
        <w:topLinePunct w:val="0"/>
        <w:bidi w:val="0"/>
        <w:ind w:firstLine="560" w:firstLineChars="200"/>
        <w:rPr>
          <w:rFonts w:hint="eastAsia"/>
          <w:color w:val="auto"/>
          <w:lang w:eastAsia="zh-CN"/>
        </w:rPr>
      </w:pPr>
    </w:p>
    <w:p w14:paraId="453C2C6F">
      <w:pPr>
        <w:pStyle w:val="29"/>
        <w:pageBreakBefore w:val="0"/>
        <w:widowControl w:val="0"/>
        <w:topLinePunct w:val="0"/>
        <w:bidi w:val="0"/>
        <w:ind w:firstLine="560" w:firstLineChars="200"/>
        <w:rPr>
          <w:rFonts w:hint="eastAsia"/>
          <w:color w:val="auto"/>
          <w:lang w:eastAsia="zh-CN"/>
        </w:rPr>
      </w:pPr>
    </w:p>
    <w:p w14:paraId="22A8E84E">
      <w:pPr>
        <w:pStyle w:val="29"/>
        <w:pageBreakBefore w:val="0"/>
        <w:widowControl w:val="0"/>
        <w:topLinePunct w:val="0"/>
        <w:bidi w:val="0"/>
        <w:ind w:firstLine="560" w:firstLineChars="200"/>
        <w:rPr>
          <w:rFonts w:hint="eastAsia"/>
          <w:color w:val="auto"/>
          <w:lang w:eastAsia="zh-CN"/>
        </w:rPr>
      </w:pPr>
    </w:p>
    <w:p w14:paraId="63C57BB1">
      <w:pPr>
        <w:pStyle w:val="29"/>
        <w:pageBreakBefore w:val="0"/>
        <w:widowControl w:val="0"/>
        <w:topLinePunct w:val="0"/>
        <w:bidi w:val="0"/>
        <w:ind w:firstLine="560" w:firstLineChars="200"/>
        <w:rPr>
          <w:rFonts w:hint="eastAsia"/>
          <w:color w:val="auto"/>
          <w:lang w:eastAsia="zh-CN"/>
        </w:rPr>
      </w:pPr>
    </w:p>
    <w:p w14:paraId="6F7ADD4F">
      <w:pPr>
        <w:pStyle w:val="29"/>
        <w:pageBreakBefore w:val="0"/>
        <w:widowControl w:val="0"/>
        <w:topLinePunct w:val="0"/>
        <w:bidi w:val="0"/>
        <w:ind w:firstLine="560" w:firstLineChars="200"/>
        <w:rPr>
          <w:rFonts w:hint="eastAsia"/>
          <w:color w:val="auto"/>
          <w:lang w:eastAsia="zh-CN"/>
        </w:rPr>
      </w:pPr>
    </w:p>
    <w:p w14:paraId="6EC9709E">
      <w:pPr>
        <w:pStyle w:val="29"/>
        <w:pageBreakBefore w:val="0"/>
        <w:widowControl w:val="0"/>
        <w:topLinePunct w:val="0"/>
        <w:bidi w:val="0"/>
        <w:ind w:firstLine="560" w:firstLineChars="200"/>
        <w:rPr>
          <w:rFonts w:hint="eastAsia"/>
          <w:color w:val="auto"/>
          <w:lang w:eastAsia="zh-CN"/>
        </w:rPr>
      </w:pPr>
    </w:p>
    <w:p w14:paraId="3C54E21B">
      <w:pPr>
        <w:pStyle w:val="29"/>
        <w:pageBreakBefore w:val="0"/>
        <w:widowControl w:val="0"/>
        <w:topLinePunct w:val="0"/>
        <w:bidi w:val="0"/>
        <w:ind w:firstLine="560" w:firstLineChars="200"/>
        <w:rPr>
          <w:rFonts w:hint="eastAsia"/>
          <w:color w:val="auto"/>
          <w:lang w:eastAsia="zh-CN"/>
        </w:rPr>
      </w:pPr>
    </w:p>
    <w:p w14:paraId="7FDBC1E9">
      <w:pPr>
        <w:pStyle w:val="29"/>
        <w:pageBreakBefore w:val="0"/>
        <w:widowControl w:val="0"/>
        <w:topLinePunct w:val="0"/>
        <w:bidi w:val="0"/>
        <w:ind w:firstLine="560" w:firstLineChars="200"/>
        <w:rPr>
          <w:rFonts w:hint="eastAsia"/>
          <w:color w:val="auto"/>
          <w:lang w:eastAsia="zh-CN"/>
        </w:rPr>
      </w:pPr>
    </w:p>
    <w:p w14:paraId="395D89AA">
      <w:pPr>
        <w:pStyle w:val="29"/>
        <w:pageBreakBefore w:val="0"/>
        <w:widowControl w:val="0"/>
        <w:topLinePunct w:val="0"/>
        <w:bidi w:val="0"/>
        <w:ind w:firstLine="560" w:firstLineChars="200"/>
        <w:rPr>
          <w:rFonts w:hint="eastAsia"/>
          <w:color w:val="auto"/>
          <w:lang w:eastAsia="zh-CN"/>
        </w:rPr>
      </w:pPr>
    </w:p>
    <w:p w14:paraId="65372833">
      <w:pPr>
        <w:pStyle w:val="30"/>
        <w:bidi w:val="0"/>
        <w:outlineLvl w:val="0"/>
        <w:rPr>
          <w:color w:val="auto"/>
          <w:highlight w:val="none"/>
          <w:lang w:eastAsia="zh-CN"/>
        </w:rPr>
      </w:pPr>
      <w:bookmarkStart w:id="31" w:name="_Toc7368"/>
      <w:bookmarkStart w:id="32" w:name="_Toc30696"/>
      <w:bookmarkStart w:id="33" w:name="_Toc26183"/>
      <w:bookmarkStart w:id="34" w:name="_Toc16752"/>
      <w:r>
        <w:rPr>
          <w:rFonts w:hint="eastAsia"/>
          <w:b/>
          <w:bCs/>
          <w:color w:val="auto"/>
          <w:highlight w:val="none"/>
          <w:lang w:val="en-US" w:eastAsia="zh-CN"/>
        </w:rPr>
        <w:t>5</w:t>
      </w:r>
      <w:r>
        <w:rPr>
          <w:rFonts w:hint="eastAsia" w:ascii="宋体" w:hAnsi="宋体" w:cs="宋体"/>
          <w:bCs/>
          <w:color w:val="auto"/>
          <w:kern w:val="44"/>
          <w:szCs w:val="44"/>
        </w:rPr>
        <w:t>　</w:t>
      </w:r>
      <w:r>
        <w:rPr>
          <w:rFonts w:hint="eastAsia"/>
          <w:color w:val="auto"/>
          <w:highlight w:val="none"/>
          <w:lang w:eastAsia="zh-CN"/>
        </w:rPr>
        <w:t>太阳能资源分析</w:t>
      </w:r>
      <w:bookmarkEnd w:id="31"/>
      <w:bookmarkEnd w:id="32"/>
      <w:bookmarkEnd w:id="33"/>
      <w:bookmarkEnd w:id="34"/>
    </w:p>
    <w:p w14:paraId="210D2643">
      <w:pPr>
        <w:pStyle w:val="31"/>
        <w:bidi w:val="0"/>
        <w:outlineLvl w:val="1"/>
        <w:rPr>
          <w:color w:val="auto"/>
          <w:highlight w:val="none"/>
          <w:lang w:eastAsia="zh-CN"/>
        </w:rPr>
      </w:pPr>
      <w:bookmarkStart w:id="35" w:name="_Toc22039"/>
      <w:bookmarkStart w:id="36" w:name="_Toc28273"/>
      <w:r>
        <w:rPr>
          <w:rFonts w:hint="eastAsia"/>
          <w:b/>
          <w:bCs/>
          <w:color w:val="auto"/>
          <w:lang w:eastAsia="zh-CN"/>
        </w:rPr>
        <w:t>5.</w:t>
      </w:r>
      <w:r>
        <w:rPr>
          <w:rFonts w:hint="eastAsia"/>
          <w:b/>
          <w:bCs/>
          <w:color w:val="auto"/>
          <w:lang w:val="en-US" w:eastAsia="zh-CN"/>
        </w:rPr>
        <w:t xml:space="preserve"> </w:t>
      </w:r>
      <w:r>
        <w:rPr>
          <w:rFonts w:hint="eastAsia"/>
          <w:b/>
          <w:bCs/>
          <w:color w:val="auto"/>
          <w:lang w:eastAsia="zh-CN"/>
        </w:rPr>
        <w:t>1</w:t>
      </w:r>
      <w:r>
        <w:rPr>
          <w:rFonts w:hint="eastAsia" w:ascii="宋体" w:hAnsi="宋体" w:cs="宋体"/>
          <w:bCs/>
          <w:color w:val="auto"/>
          <w:kern w:val="44"/>
          <w:szCs w:val="44"/>
        </w:rPr>
        <w:t>　</w:t>
      </w:r>
      <w:r>
        <w:rPr>
          <w:rFonts w:hint="eastAsia"/>
          <w:color w:val="auto"/>
          <w:lang w:eastAsia="zh-CN"/>
        </w:rPr>
        <w:t>一般规定</w:t>
      </w:r>
      <w:bookmarkEnd w:id="35"/>
      <w:bookmarkEnd w:id="36"/>
    </w:p>
    <w:p w14:paraId="163E9EA2">
      <w:pPr>
        <w:pStyle w:val="29"/>
        <w:bidi w:val="0"/>
        <w:rPr>
          <w:color w:val="auto"/>
          <w:lang w:eastAsia="zh-CN"/>
        </w:rPr>
      </w:pPr>
      <w:r>
        <w:rPr>
          <w:rFonts w:hint="eastAsia"/>
          <w:b/>
          <w:bCs/>
          <w:color w:val="auto"/>
          <w:lang w:val="en-US" w:eastAsia="zh-CN"/>
        </w:rPr>
        <w:t>5. 1. 1</w:t>
      </w:r>
      <w:r>
        <w:rPr>
          <w:rFonts w:hint="eastAsia"/>
          <w:color w:val="auto"/>
        </w:rPr>
        <w:t>　</w:t>
      </w:r>
      <w:r>
        <w:rPr>
          <w:color w:val="auto"/>
          <w:lang w:eastAsia="zh-CN"/>
        </w:rPr>
        <w:t>山地光伏电站</w:t>
      </w:r>
      <w:r>
        <w:rPr>
          <w:rFonts w:hint="eastAsia"/>
          <w:color w:val="auto"/>
          <w:lang w:eastAsia="zh-CN"/>
        </w:rPr>
        <w:t>太阳能资源分析</w:t>
      </w:r>
      <w:r>
        <w:rPr>
          <w:color w:val="auto"/>
          <w:lang w:eastAsia="zh-CN"/>
        </w:rPr>
        <w:t>应符合现行国家标准</w:t>
      </w:r>
      <w:r>
        <w:rPr>
          <w:rFonts w:hint="eastAsia"/>
          <w:color w:val="auto"/>
          <w:lang w:eastAsia="zh-CN"/>
        </w:rPr>
        <w:t>《光伏发电站设计标准》GB 50797</w:t>
      </w:r>
      <w:r>
        <w:rPr>
          <w:color w:val="auto"/>
          <w:lang w:eastAsia="zh-CN"/>
        </w:rPr>
        <w:t>的规定。</w:t>
      </w:r>
    </w:p>
    <w:p w14:paraId="58853CD5">
      <w:pPr>
        <w:pStyle w:val="29"/>
        <w:bidi w:val="0"/>
        <w:rPr>
          <w:color w:val="auto"/>
          <w:lang w:eastAsia="zh-CN"/>
        </w:rPr>
      </w:pPr>
      <w:r>
        <w:rPr>
          <w:rFonts w:hint="eastAsia"/>
          <w:b/>
          <w:bCs/>
          <w:color w:val="auto"/>
          <w:lang w:val="en-US" w:eastAsia="zh-CN"/>
        </w:rPr>
        <w:t>5. 1. 2</w:t>
      </w:r>
      <w:r>
        <w:rPr>
          <w:rFonts w:hint="eastAsia"/>
          <w:color w:val="auto"/>
        </w:rPr>
        <w:t>　</w:t>
      </w:r>
      <w:r>
        <w:rPr>
          <w:rFonts w:hint="eastAsia"/>
          <w:color w:val="auto"/>
          <w:lang w:eastAsia="zh-CN"/>
        </w:rPr>
        <w:t>太阳能资源分析时，应选择距离站址较近、地理、气候特征无明显差异，且有太阳辐射长期观测记录的地面观测站作为参考气象站。当地面观测站与站址之间空间代表性不满足要求时，还应选择站址附近具备日照时数观测记录的观测站作为参考气象站。</w:t>
      </w:r>
    </w:p>
    <w:p w14:paraId="28CDA06E">
      <w:pPr>
        <w:pStyle w:val="31"/>
        <w:bidi w:val="0"/>
        <w:outlineLvl w:val="1"/>
        <w:rPr>
          <w:color w:val="auto"/>
          <w:lang w:eastAsia="zh-CN"/>
        </w:rPr>
      </w:pPr>
      <w:bookmarkStart w:id="37" w:name="_Toc7507"/>
      <w:bookmarkStart w:id="38" w:name="_Toc2124"/>
      <w:bookmarkStart w:id="39" w:name="_Toc26284"/>
      <w:r>
        <w:rPr>
          <w:rFonts w:hint="eastAsia"/>
          <w:b/>
          <w:bCs/>
          <w:color w:val="auto"/>
          <w:lang w:eastAsia="zh-CN"/>
        </w:rPr>
        <w:t>5.</w:t>
      </w:r>
      <w:r>
        <w:rPr>
          <w:rFonts w:hint="eastAsia"/>
          <w:b/>
          <w:bCs/>
          <w:color w:val="auto"/>
          <w:lang w:val="en-US" w:eastAsia="zh-CN"/>
        </w:rPr>
        <w:t xml:space="preserve"> 2</w:t>
      </w:r>
      <w:r>
        <w:rPr>
          <w:rFonts w:hint="eastAsia" w:ascii="宋体" w:hAnsi="宋体" w:cs="宋体"/>
          <w:bCs/>
          <w:color w:val="auto"/>
          <w:kern w:val="44"/>
          <w:szCs w:val="44"/>
        </w:rPr>
        <w:t>　</w:t>
      </w:r>
      <w:r>
        <w:rPr>
          <w:rFonts w:hint="eastAsia"/>
          <w:color w:val="auto"/>
          <w:lang w:eastAsia="zh-CN"/>
        </w:rPr>
        <w:t>参考气象站基本条件和数据采集</w:t>
      </w:r>
      <w:bookmarkEnd w:id="37"/>
      <w:bookmarkEnd w:id="38"/>
      <w:bookmarkEnd w:id="39"/>
    </w:p>
    <w:p w14:paraId="2E131C06">
      <w:pPr>
        <w:pStyle w:val="29"/>
        <w:bidi w:val="0"/>
        <w:rPr>
          <w:color w:val="auto"/>
        </w:rPr>
      </w:pPr>
      <w:r>
        <w:rPr>
          <w:rFonts w:hint="eastAsia"/>
          <w:b/>
          <w:bCs/>
          <w:color w:val="auto"/>
          <w:lang w:val="en-US" w:eastAsia="zh-CN"/>
        </w:rPr>
        <w:t>5. 2. 1</w:t>
      </w:r>
      <w:r>
        <w:rPr>
          <w:rFonts w:hint="eastAsia"/>
          <w:color w:val="auto"/>
        </w:rPr>
        <w:t>　</w:t>
      </w:r>
      <w:r>
        <w:rPr>
          <w:rFonts w:hint="eastAsia"/>
          <w:color w:val="auto"/>
          <w:lang w:eastAsia="zh-CN"/>
        </w:rPr>
        <w:t>参考气象站与光伏电站站址所在地的气候特征、地理特征应基本一致；参考气象站与光伏电站站址距离不宜超过</w:t>
      </w:r>
      <w:r>
        <w:rPr>
          <w:color w:val="auto"/>
          <w:lang w:eastAsia="zh-CN"/>
        </w:rPr>
        <w:t>50km</w:t>
      </w:r>
      <w:r>
        <w:rPr>
          <w:rFonts w:hint="eastAsia"/>
          <w:color w:val="auto"/>
          <w:lang w:eastAsia="zh-CN"/>
        </w:rPr>
        <w:t>。</w:t>
      </w:r>
    </w:p>
    <w:p w14:paraId="2BB54977">
      <w:pPr>
        <w:pStyle w:val="29"/>
        <w:bidi w:val="0"/>
        <w:rPr>
          <w:rFonts w:hint="eastAsia"/>
          <w:color w:val="auto"/>
          <w:lang w:eastAsia="zh-CN"/>
        </w:rPr>
      </w:pPr>
      <w:r>
        <w:rPr>
          <w:rFonts w:hint="eastAsia"/>
          <w:b/>
          <w:bCs/>
          <w:color w:val="auto"/>
          <w:lang w:val="en-US" w:eastAsia="zh-CN"/>
        </w:rPr>
        <w:t>5. 2. 2</w:t>
      </w:r>
      <w:r>
        <w:rPr>
          <w:rFonts w:hint="eastAsia"/>
          <w:color w:val="auto"/>
        </w:rPr>
        <w:t>　</w:t>
      </w:r>
      <w:r>
        <w:rPr>
          <w:rFonts w:hint="eastAsia"/>
          <w:color w:val="auto"/>
          <w:lang w:eastAsia="zh-CN"/>
        </w:rPr>
        <w:t>参考气象站的辐射</w:t>
      </w:r>
      <w:r>
        <w:rPr>
          <w:rFonts w:hint="eastAsia"/>
          <w:color w:val="auto"/>
          <w:lang w:val="en-US" w:eastAsia="zh-CN"/>
        </w:rPr>
        <w:t>或日照时数</w:t>
      </w:r>
      <w:r>
        <w:rPr>
          <w:rFonts w:hint="eastAsia"/>
          <w:color w:val="auto"/>
          <w:lang w:eastAsia="zh-CN"/>
        </w:rPr>
        <w:t>观测资料与</w:t>
      </w:r>
      <w:r>
        <w:rPr>
          <w:rFonts w:hint="eastAsia"/>
          <w:color w:val="auto"/>
          <w:lang w:val="en-US" w:eastAsia="zh-CN"/>
        </w:rPr>
        <w:t>站址同期观测资料</w:t>
      </w:r>
      <w:r>
        <w:rPr>
          <w:rFonts w:hint="eastAsia"/>
          <w:color w:val="auto"/>
          <w:lang w:eastAsia="zh-CN"/>
        </w:rPr>
        <w:t>相关性系数宜</w:t>
      </w:r>
      <w:r>
        <w:rPr>
          <w:rFonts w:hint="eastAsia"/>
          <w:color w:val="auto"/>
          <w:lang w:val="en-US" w:eastAsia="zh-CN"/>
        </w:rPr>
        <w:t>大于</w:t>
      </w:r>
      <w:r>
        <w:rPr>
          <w:rFonts w:hint="eastAsia"/>
          <w:color w:val="auto"/>
          <w:lang w:eastAsia="zh-CN"/>
        </w:rPr>
        <w:t>0.</w:t>
      </w:r>
      <w:r>
        <w:rPr>
          <w:rFonts w:hint="eastAsia"/>
          <w:color w:val="auto"/>
          <w:lang w:val="en-US" w:eastAsia="zh-CN"/>
        </w:rPr>
        <w:t>7</w:t>
      </w:r>
      <w:r>
        <w:rPr>
          <w:rFonts w:hint="eastAsia"/>
          <w:color w:val="auto"/>
          <w:lang w:eastAsia="zh-CN"/>
        </w:rPr>
        <w:t>。</w:t>
      </w:r>
    </w:p>
    <w:p w14:paraId="301AC728">
      <w:pPr>
        <w:pStyle w:val="31"/>
        <w:bidi w:val="0"/>
        <w:outlineLvl w:val="1"/>
        <w:rPr>
          <w:color w:val="auto"/>
          <w:lang w:eastAsia="zh-CN"/>
        </w:rPr>
      </w:pPr>
      <w:bookmarkStart w:id="40" w:name="_Toc20597"/>
      <w:bookmarkStart w:id="41" w:name="_Toc11436"/>
      <w:bookmarkStart w:id="42" w:name="_Toc14145"/>
      <w:r>
        <w:rPr>
          <w:rFonts w:hint="eastAsia"/>
          <w:b/>
          <w:bCs/>
          <w:color w:val="auto"/>
          <w:lang w:eastAsia="zh-CN"/>
        </w:rPr>
        <w:t>5.</w:t>
      </w:r>
      <w:r>
        <w:rPr>
          <w:rFonts w:hint="eastAsia"/>
          <w:b/>
          <w:bCs/>
          <w:color w:val="auto"/>
          <w:lang w:val="en-US" w:eastAsia="zh-CN"/>
        </w:rPr>
        <w:t xml:space="preserve"> 3</w:t>
      </w:r>
      <w:r>
        <w:rPr>
          <w:rFonts w:hint="eastAsia" w:ascii="宋体" w:hAnsi="宋体" w:cs="宋体"/>
          <w:bCs/>
          <w:color w:val="auto"/>
          <w:kern w:val="44"/>
          <w:szCs w:val="44"/>
        </w:rPr>
        <w:t>　</w:t>
      </w:r>
      <w:r>
        <w:rPr>
          <w:rFonts w:hint="eastAsia"/>
          <w:color w:val="auto"/>
          <w:lang w:eastAsia="zh-CN"/>
        </w:rPr>
        <w:t>太阳辐射现场观测站基本要求</w:t>
      </w:r>
      <w:bookmarkEnd w:id="40"/>
      <w:bookmarkEnd w:id="41"/>
      <w:bookmarkEnd w:id="42"/>
    </w:p>
    <w:p w14:paraId="389A4487">
      <w:pPr>
        <w:pStyle w:val="29"/>
        <w:bidi w:val="0"/>
        <w:rPr>
          <w:rFonts w:hint="eastAsia"/>
          <w:color w:val="auto"/>
          <w:lang w:val="en-US" w:eastAsia="zh-CN"/>
        </w:rPr>
      </w:pPr>
      <w:r>
        <w:rPr>
          <w:rFonts w:hint="eastAsia"/>
          <w:b/>
          <w:bCs/>
          <w:color w:val="auto"/>
          <w:lang w:val="en-US" w:eastAsia="zh-CN"/>
        </w:rPr>
        <w:t>5. 3. 1</w:t>
      </w:r>
      <w:r>
        <w:rPr>
          <w:rFonts w:hint="eastAsia"/>
          <w:color w:val="auto"/>
        </w:rPr>
        <w:t>　</w:t>
      </w:r>
      <w:r>
        <w:rPr>
          <w:color w:val="auto"/>
          <w:lang w:eastAsia="zh-CN"/>
        </w:rPr>
        <w:t>太阳辐射现场观测站</w:t>
      </w:r>
      <w:r>
        <w:rPr>
          <w:rFonts w:hint="eastAsia"/>
          <w:color w:val="auto"/>
          <w:lang w:val="en-US" w:eastAsia="zh-CN"/>
        </w:rPr>
        <w:t>应</w:t>
      </w:r>
      <w:r>
        <w:rPr>
          <w:rFonts w:hint="eastAsia"/>
          <w:color w:val="auto"/>
          <w:lang w:eastAsia="zh-CN"/>
        </w:rPr>
        <w:t>根据</w:t>
      </w:r>
      <w:r>
        <w:rPr>
          <w:rFonts w:hint="eastAsia"/>
          <w:color w:val="auto"/>
          <w:lang w:val="en-US" w:eastAsia="zh-CN"/>
        </w:rPr>
        <w:t>站址</w:t>
      </w:r>
      <w:r>
        <w:rPr>
          <w:rFonts w:hint="eastAsia"/>
          <w:color w:val="auto"/>
          <w:lang w:eastAsia="zh-CN"/>
        </w:rPr>
        <w:t>地形、地貌等</w:t>
      </w:r>
      <w:r>
        <w:rPr>
          <w:rFonts w:hint="eastAsia"/>
          <w:color w:val="auto"/>
          <w:lang w:val="en-US" w:eastAsia="zh-CN"/>
        </w:rPr>
        <w:t>进行分析，选择有代表性的位置。</w:t>
      </w:r>
    </w:p>
    <w:p w14:paraId="6596D296">
      <w:pPr>
        <w:pStyle w:val="29"/>
        <w:bidi w:val="0"/>
        <w:rPr>
          <w:color w:val="auto"/>
          <w:lang w:eastAsia="zh-CN"/>
        </w:rPr>
      </w:pPr>
      <w:r>
        <w:rPr>
          <w:rFonts w:hint="eastAsia"/>
          <w:b/>
          <w:bCs/>
          <w:color w:val="auto"/>
          <w:lang w:val="en-US" w:eastAsia="zh-CN"/>
        </w:rPr>
        <w:t>5. 3. 2</w:t>
      </w:r>
      <w:r>
        <w:rPr>
          <w:rFonts w:hint="eastAsia"/>
          <w:color w:val="auto"/>
        </w:rPr>
        <w:t>　</w:t>
      </w:r>
      <w:r>
        <w:rPr>
          <w:color w:val="auto"/>
          <w:lang w:eastAsia="zh-CN"/>
        </w:rPr>
        <w:t>太阳辐射现场观测站的观测要素应包括水平面总辐射、散射辐射、直接辐射、日照时数、环境温度、风速、风向等数据。</w:t>
      </w:r>
    </w:p>
    <w:p w14:paraId="5D0FA171">
      <w:pPr>
        <w:pStyle w:val="29"/>
        <w:bidi w:val="0"/>
        <w:rPr>
          <w:rFonts w:hint="eastAsia"/>
          <w:color w:val="auto"/>
          <w:lang w:eastAsia="zh-CN"/>
        </w:rPr>
      </w:pPr>
      <w:r>
        <w:rPr>
          <w:rFonts w:hint="eastAsia"/>
          <w:b/>
          <w:bCs/>
          <w:color w:val="auto"/>
          <w:lang w:val="en-US" w:eastAsia="zh-CN"/>
        </w:rPr>
        <w:t>5. 3. 3</w:t>
      </w:r>
      <w:r>
        <w:rPr>
          <w:rFonts w:hint="eastAsia"/>
          <w:color w:val="auto"/>
        </w:rPr>
        <w:t>　</w:t>
      </w:r>
      <w:r>
        <w:rPr>
          <w:rFonts w:hint="eastAsia"/>
          <w:color w:val="auto"/>
          <w:lang w:eastAsia="zh-CN"/>
        </w:rPr>
        <w:t>当项目现场无太阳辐射现场观测站时，应收集周边同类型已建成项目数据，用于辅助站址区域太阳辐射分析。</w:t>
      </w:r>
    </w:p>
    <w:p w14:paraId="1C8852BB">
      <w:pPr>
        <w:pStyle w:val="31"/>
        <w:bidi w:val="0"/>
        <w:outlineLvl w:val="9"/>
        <w:rPr>
          <w:rFonts w:hint="eastAsia"/>
          <w:b/>
          <w:bCs/>
          <w:color w:val="auto"/>
          <w:lang w:eastAsia="zh-CN"/>
        </w:rPr>
      </w:pPr>
      <w:bookmarkStart w:id="43" w:name="_Toc23800"/>
      <w:bookmarkStart w:id="44" w:name="_Toc10673"/>
      <w:bookmarkStart w:id="45" w:name="_Toc20071"/>
    </w:p>
    <w:p w14:paraId="5A2FFC19">
      <w:pPr>
        <w:pStyle w:val="31"/>
        <w:bidi w:val="0"/>
        <w:outlineLvl w:val="1"/>
        <w:rPr>
          <w:color w:val="auto"/>
          <w:lang w:eastAsia="zh-CN"/>
        </w:rPr>
      </w:pPr>
      <w:r>
        <w:rPr>
          <w:rFonts w:hint="eastAsia"/>
          <w:b/>
          <w:bCs/>
          <w:color w:val="auto"/>
          <w:lang w:eastAsia="zh-CN"/>
        </w:rPr>
        <w:t>5.</w:t>
      </w:r>
      <w:r>
        <w:rPr>
          <w:rFonts w:hint="eastAsia"/>
          <w:b/>
          <w:bCs/>
          <w:color w:val="auto"/>
          <w:lang w:val="en-US" w:eastAsia="zh-CN"/>
        </w:rPr>
        <w:t xml:space="preserve"> 4</w:t>
      </w:r>
      <w:r>
        <w:rPr>
          <w:rFonts w:hint="eastAsia" w:ascii="宋体" w:hAnsi="宋体" w:cs="宋体"/>
          <w:bCs/>
          <w:color w:val="auto"/>
          <w:kern w:val="44"/>
          <w:szCs w:val="44"/>
        </w:rPr>
        <w:t>　</w:t>
      </w:r>
      <w:r>
        <w:rPr>
          <w:rFonts w:hint="eastAsia"/>
          <w:color w:val="auto"/>
          <w:lang w:eastAsia="zh-CN"/>
        </w:rPr>
        <w:t>太阳辐射观测数据验证与资源分析</w:t>
      </w:r>
      <w:bookmarkEnd w:id="43"/>
      <w:bookmarkEnd w:id="44"/>
      <w:bookmarkEnd w:id="45"/>
    </w:p>
    <w:p w14:paraId="6FB07EEB">
      <w:pPr>
        <w:pStyle w:val="29"/>
        <w:bidi w:val="0"/>
        <w:rPr>
          <w:color w:val="auto"/>
          <w:lang w:eastAsia="zh-CN"/>
        </w:rPr>
      </w:pPr>
      <w:r>
        <w:rPr>
          <w:rFonts w:hint="eastAsia"/>
          <w:b/>
          <w:bCs/>
          <w:color w:val="auto"/>
          <w:lang w:val="en-US" w:eastAsia="zh-CN"/>
        </w:rPr>
        <w:t>5. 4. 1</w:t>
      </w:r>
      <w:r>
        <w:rPr>
          <w:rFonts w:hint="eastAsia"/>
          <w:color w:val="auto"/>
        </w:rPr>
        <w:t>　</w:t>
      </w:r>
      <w:r>
        <w:rPr>
          <w:rFonts w:hint="eastAsia"/>
          <w:color w:val="auto"/>
          <w:lang w:eastAsia="zh-CN"/>
        </w:rPr>
        <w:t>太阳辐射观测数据经完整性和合理性检验后，其中不合理和缺测的数据应修正并插补完整。不合理和缺测数据的插补方法应符合现行国家标准《太阳能资源评估方法》</w:t>
      </w:r>
      <w:r>
        <w:rPr>
          <w:color w:val="auto"/>
          <w:lang w:eastAsia="zh-CN"/>
        </w:rPr>
        <w:t>GB/T</w:t>
      </w:r>
      <w:r>
        <w:rPr>
          <w:rFonts w:hint="eastAsia"/>
          <w:color w:val="auto"/>
          <w:lang w:val="en-US" w:eastAsia="zh-CN"/>
        </w:rPr>
        <w:t xml:space="preserve"> </w:t>
      </w:r>
      <w:r>
        <w:rPr>
          <w:color w:val="auto"/>
          <w:lang w:eastAsia="zh-CN"/>
        </w:rPr>
        <w:t>37526</w:t>
      </w:r>
      <w:r>
        <w:rPr>
          <w:rFonts w:hint="eastAsia"/>
          <w:color w:val="auto"/>
          <w:lang w:eastAsia="zh-CN"/>
        </w:rPr>
        <w:t>的规定。</w:t>
      </w:r>
    </w:p>
    <w:p w14:paraId="57936DB2">
      <w:pPr>
        <w:pStyle w:val="29"/>
        <w:bidi w:val="0"/>
        <w:rPr>
          <w:rFonts w:hint="eastAsia"/>
          <w:color w:val="auto"/>
          <w:lang w:eastAsia="zh-CN"/>
        </w:rPr>
      </w:pPr>
      <w:r>
        <w:rPr>
          <w:rFonts w:hint="eastAsia"/>
          <w:b/>
          <w:bCs/>
          <w:color w:val="auto"/>
          <w:lang w:val="en-US" w:eastAsia="zh-CN"/>
        </w:rPr>
        <w:t>5. 4. 2</w:t>
      </w:r>
      <w:r>
        <w:rPr>
          <w:rFonts w:hint="eastAsia"/>
          <w:color w:val="auto"/>
        </w:rPr>
        <w:t>　</w:t>
      </w:r>
      <w:r>
        <w:rPr>
          <w:rFonts w:hint="eastAsia"/>
          <w:color w:val="auto"/>
          <w:lang w:eastAsia="zh-CN"/>
        </w:rPr>
        <w:t>太阳能资源分析应利用</w:t>
      </w:r>
      <w:r>
        <w:rPr>
          <w:color w:val="auto"/>
          <w:lang w:eastAsia="zh-CN"/>
        </w:rPr>
        <w:t>10</w:t>
      </w:r>
      <w:r>
        <w:rPr>
          <w:rFonts w:hint="eastAsia"/>
          <w:color w:val="auto"/>
          <w:lang w:eastAsia="zh-CN"/>
        </w:rPr>
        <w:t>年及以上的长序列数据，长序列数据宜采用辐射观测参考气象站长序列实测数据或参考气象站长序列计算数据，也可采用格点化长序列计算数据。当太阳能资源分析利用站址现场实测短期观测数据时，应利用辐射观测参考气象站的长序列数据进行代表年数据修正；当太阳能资源分析</w:t>
      </w:r>
      <w:r>
        <w:rPr>
          <w:rFonts w:hint="eastAsia"/>
          <w:color w:val="auto"/>
          <w:lang w:val="en-US" w:eastAsia="zh-CN"/>
        </w:rPr>
        <w:t>采用</w:t>
      </w:r>
      <w:r>
        <w:rPr>
          <w:rFonts w:hint="eastAsia"/>
          <w:color w:val="auto"/>
          <w:lang w:eastAsia="zh-CN"/>
        </w:rPr>
        <w:t>格点化长序列数据时，应对不同数据库进行对比分析后选择有代表性的数据。</w:t>
      </w:r>
    </w:p>
    <w:p w14:paraId="53F82C77">
      <w:pPr>
        <w:pStyle w:val="29"/>
        <w:bidi w:val="0"/>
        <w:rPr>
          <w:rFonts w:hint="eastAsia"/>
          <w:color w:val="auto"/>
          <w:lang w:eastAsia="zh-CN"/>
        </w:rPr>
      </w:pPr>
    </w:p>
    <w:p w14:paraId="7E7C7F98">
      <w:pPr>
        <w:pStyle w:val="29"/>
        <w:bidi w:val="0"/>
        <w:rPr>
          <w:rFonts w:hint="eastAsia"/>
          <w:color w:val="auto"/>
          <w:lang w:eastAsia="zh-CN"/>
        </w:rPr>
      </w:pPr>
    </w:p>
    <w:p w14:paraId="7CF0B580">
      <w:pPr>
        <w:pStyle w:val="29"/>
        <w:bidi w:val="0"/>
        <w:rPr>
          <w:rFonts w:hint="eastAsia"/>
          <w:color w:val="auto"/>
          <w:lang w:eastAsia="zh-CN"/>
        </w:rPr>
      </w:pPr>
    </w:p>
    <w:p w14:paraId="2FCD9C01">
      <w:pPr>
        <w:pStyle w:val="29"/>
        <w:bidi w:val="0"/>
        <w:rPr>
          <w:rFonts w:hint="eastAsia"/>
          <w:color w:val="auto"/>
          <w:lang w:eastAsia="zh-CN"/>
        </w:rPr>
      </w:pPr>
    </w:p>
    <w:p w14:paraId="10605CC7">
      <w:pPr>
        <w:pStyle w:val="29"/>
        <w:bidi w:val="0"/>
        <w:rPr>
          <w:rFonts w:hint="eastAsia"/>
          <w:color w:val="auto"/>
          <w:lang w:eastAsia="zh-CN"/>
        </w:rPr>
      </w:pPr>
    </w:p>
    <w:p w14:paraId="712334A0">
      <w:pPr>
        <w:pStyle w:val="29"/>
        <w:bidi w:val="0"/>
        <w:rPr>
          <w:rFonts w:hint="eastAsia"/>
          <w:color w:val="auto"/>
          <w:lang w:eastAsia="zh-CN"/>
        </w:rPr>
      </w:pPr>
    </w:p>
    <w:p w14:paraId="402C4D7D">
      <w:pPr>
        <w:pStyle w:val="29"/>
        <w:bidi w:val="0"/>
        <w:rPr>
          <w:rFonts w:hint="eastAsia"/>
          <w:color w:val="auto"/>
          <w:lang w:eastAsia="zh-CN"/>
        </w:rPr>
      </w:pPr>
    </w:p>
    <w:p w14:paraId="622D3C75">
      <w:pPr>
        <w:pStyle w:val="29"/>
        <w:bidi w:val="0"/>
        <w:rPr>
          <w:rFonts w:hint="eastAsia"/>
          <w:color w:val="auto"/>
          <w:lang w:eastAsia="zh-CN"/>
        </w:rPr>
      </w:pPr>
    </w:p>
    <w:p w14:paraId="2C48D8BF">
      <w:pPr>
        <w:pStyle w:val="29"/>
        <w:bidi w:val="0"/>
        <w:rPr>
          <w:rFonts w:hint="eastAsia"/>
          <w:color w:val="auto"/>
          <w:lang w:eastAsia="zh-CN"/>
        </w:rPr>
      </w:pPr>
    </w:p>
    <w:p w14:paraId="2C5A4193">
      <w:pPr>
        <w:pStyle w:val="29"/>
        <w:bidi w:val="0"/>
        <w:rPr>
          <w:rFonts w:hint="eastAsia"/>
          <w:color w:val="auto"/>
          <w:lang w:eastAsia="zh-CN"/>
        </w:rPr>
      </w:pPr>
    </w:p>
    <w:p w14:paraId="1545A48C">
      <w:pPr>
        <w:pStyle w:val="29"/>
        <w:bidi w:val="0"/>
        <w:rPr>
          <w:rFonts w:hint="eastAsia"/>
          <w:color w:val="auto"/>
          <w:lang w:eastAsia="zh-CN"/>
        </w:rPr>
      </w:pPr>
    </w:p>
    <w:p w14:paraId="24EB8E23">
      <w:pPr>
        <w:pStyle w:val="29"/>
        <w:bidi w:val="0"/>
        <w:rPr>
          <w:rFonts w:hint="eastAsia"/>
          <w:color w:val="auto"/>
          <w:lang w:eastAsia="zh-CN"/>
        </w:rPr>
      </w:pPr>
    </w:p>
    <w:p w14:paraId="6FC36E27">
      <w:pPr>
        <w:pStyle w:val="29"/>
        <w:bidi w:val="0"/>
        <w:rPr>
          <w:rFonts w:hint="eastAsia"/>
          <w:color w:val="auto"/>
          <w:lang w:eastAsia="zh-CN"/>
        </w:rPr>
      </w:pPr>
    </w:p>
    <w:p w14:paraId="0E6ED6E9">
      <w:pPr>
        <w:pStyle w:val="29"/>
        <w:bidi w:val="0"/>
        <w:rPr>
          <w:rFonts w:hint="eastAsia"/>
          <w:color w:val="auto"/>
          <w:lang w:eastAsia="zh-CN"/>
        </w:rPr>
      </w:pPr>
    </w:p>
    <w:p w14:paraId="5BA3E176">
      <w:pPr>
        <w:pStyle w:val="29"/>
        <w:bidi w:val="0"/>
        <w:rPr>
          <w:rFonts w:hint="eastAsia"/>
          <w:color w:val="auto"/>
          <w:lang w:eastAsia="zh-CN"/>
        </w:rPr>
      </w:pPr>
    </w:p>
    <w:p w14:paraId="777266C2">
      <w:pPr>
        <w:pStyle w:val="29"/>
        <w:bidi w:val="0"/>
        <w:rPr>
          <w:rFonts w:hint="eastAsia"/>
          <w:color w:val="auto"/>
          <w:lang w:eastAsia="zh-CN"/>
        </w:rPr>
      </w:pPr>
    </w:p>
    <w:p w14:paraId="57791336">
      <w:pPr>
        <w:pStyle w:val="30"/>
        <w:bidi w:val="0"/>
        <w:outlineLvl w:val="0"/>
        <w:rPr>
          <w:color w:val="auto"/>
          <w:lang w:eastAsia="zh-CN"/>
        </w:rPr>
      </w:pPr>
      <w:bookmarkStart w:id="46" w:name="_Toc24146"/>
      <w:bookmarkStart w:id="47" w:name="_Toc20114"/>
      <w:bookmarkStart w:id="48" w:name="_Toc24232"/>
      <w:bookmarkStart w:id="49" w:name="_Toc13823"/>
      <w:r>
        <w:rPr>
          <w:rFonts w:hint="eastAsia"/>
          <w:b/>
          <w:bCs/>
          <w:color w:val="auto"/>
          <w:highlight w:val="none"/>
          <w:lang w:val="en-US" w:eastAsia="zh-CN"/>
        </w:rPr>
        <w:t>6</w:t>
      </w:r>
      <w:r>
        <w:rPr>
          <w:rFonts w:hint="eastAsia" w:ascii="宋体" w:hAnsi="宋体" w:cs="宋体"/>
          <w:bCs/>
          <w:color w:val="auto"/>
          <w:kern w:val="44"/>
          <w:szCs w:val="44"/>
        </w:rPr>
        <w:t>　</w:t>
      </w:r>
      <w:r>
        <w:rPr>
          <w:rFonts w:hint="eastAsia"/>
          <w:color w:val="auto"/>
          <w:lang w:eastAsia="zh-CN"/>
        </w:rPr>
        <w:t>光伏发电系统</w:t>
      </w:r>
      <w:bookmarkEnd w:id="46"/>
      <w:bookmarkEnd w:id="47"/>
      <w:bookmarkEnd w:id="48"/>
      <w:bookmarkEnd w:id="49"/>
    </w:p>
    <w:p w14:paraId="0BD264CA">
      <w:pPr>
        <w:pStyle w:val="31"/>
        <w:bidi w:val="0"/>
        <w:outlineLvl w:val="1"/>
        <w:rPr>
          <w:color w:val="auto"/>
          <w:lang w:eastAsia="zh-CN"/>
        </w:rPr>
      </w:pPr>
      <w:bookmarkStart w:id="50" w:name="_Toc7766"/>
      <w:bookmarkStart w:id="51" w:name="_Toc12396"/>
      <w:bookmarkStart w:id="52" w:name="_Toc10282"/>
      <w:r>
        <w:rPr>
          <w:rFonts w:hint="eastAsia"/>
          <w:b/>
          <w:bCs/>
          <w:color w:val="auto"/>
          <w:lang w:val="en-US" w:eastAsia="zh-CN"/>
        </w:rPr>
        <w:t>6</w:t>
      </w:r>
      <w:r>
        <w:rPr>
          <w:rFonts w:hint="eastAsia"/>
          <w:b/>
          <w:bCs/>
          <w:color w:val="auto"/>
          <w:lang w:eastAsia="zh-CN"/>
        </w:rPr>
        <w:t>.</w:t>
      </w:r>
      <w:r>
        <w:rPr>
          <w:rFonts w:hint="eastAsia"/>
          <w:b/>
          <w:bCs/>
          <w:color w:val="auto"/>
          <w:lang w:val="en-US" w:eastAsia="zh-CN"/>
        </w:rPr>
        <w:t xml:space="preserve"> 1</w:t>
      </w:r>
      <w:r>
        <w:rPr>
          <w:rFonts w:hint="eastAsia" w:ascii="宋体" w:hAnsi="宋体" w:cs="宋体"/>
          <w:bCs/>
          <w:color w:val="auto"/>
          <w:kern w:val="44"/>
          <w:szCs w:val="44"/>
        </w:rPr>
        <w:t>　</w:t>
      </w:r>
      <w:r>
        <w:rPr>
          <w:rFonts w:hint="eastAsia"/>
          <w:color w:val="auto"/>
          <w:lang w:eastAsia="zh-CN"/>
        </w:rPr>
        <w:t>一般规定</w:t>
      </w:r>
      <w:bookmarkEnd w:id="50"/>
      <w:bookmarkEnd w:id="51"/>
      <w:bookmarkEnd w:id="52"/>
    </w:p>
    <w:p w14:paraId="6204250E">
      <w:pPr>
        <w:pStyle w:val="29"/>
        <w:bidi w:val="0"/>
        <w:rPr>
          <w:color w:val="auto"/>
          <w:lang w:eastAsia="zh-CN"/>
        </w:rPr>
      </w:pPr>
      <w:r>
        <w:rPr>
          <w:rFonts w:hint="eastAsia"/>
          <w:b/>
          <w:bCs/>
          <w:color w:val="auto"/>
          <w:lang w:val="en-US" w:eastAsia="zh-CN"/>
        </w:rPr>
        <w:t>6. 1. 1</w:t>
      </w:r>
      <w:r>
        <w:rPr>
          <w:rFonts w:hint="eastAsia"/>
          <w:color w:val="auto"/>
        </w:rPr>
        <w:t>　</w:t>
      </w:r>
      <w:r>
        <w:rPr>
          <w:rFonts w:hint="eastAsia"/>
          <w:color w:val="auto"/>
          <w:lang w:eastAsia="zh-CN"/>
        </w:rPr>
        <w:t>山地光伏发电系统设计应符合现行国家标准《光伏发电站设计标准》GB 50797第6章的规定。</w:t>
      </w:r>
    </w:p>
    <w:p w14:paraId="4A3F8B5D">
      <w:pPr>
        <w:pStyle w:val="29"/>
        <w:bidi w:val="0"/>
        <w:rPr>
          <w:color w:val="auto"/>
          <w:lang w:eastAsia="zh-CN"/>
        </w:rPr>
      </w:pPr>
      <w:r>
        <w:rPr>
          <w:rFonts w:hint="eastAsia"/>
          <w:b/>
          <w:bCs/>
          <w:color w:val="auto"/>
          <w:lang w:val="en-US" w:eastAsia="zh-CN"/>
        </w:rPr>
        <w:t>6. 1. 2</w:t>
      </w:r>
      <w:r>
        <w:rPr>
          <w:rFonts w:hint="eastAsia"/>
          <w:color w:val="auto"/>
        </w:rPr>
        <w:t>　</w:t>
      </w:r>
      <w:r>
        <w:rPr>
          <w:rFonts w:hint="eastAsia"/>
          <w:color w:val="auto"/>
          <w:lang w:eastAsia="zh-CN"/>
        </w:rPr>
        <w:t>山地光伏发电系统设计应结合山地地形复杂、高程变化大、坡度陡缓不一、局部气候差异显著等特点，优化系统配置与布局，山地光伏发电系统设计应充分利用山地地形和已有道路设施，避免大规模开挖回填，兼顾生态保护与工程可行性。</w:t>
      </w:r>
    </w:p>
    <w:p w14:paraId="2CBAFFF7">
      <w:pPr>
        <w:pStyle w:val="29"/>
        <w:bidi w:val="0"/>
        <w:rPr>
          <w:color w:val="auto"/>
          <w:lang w:eastAsia="zh-CN"/>
        </w:rPr>
      </w:pPr>
      <w:r>
        <w:rPr>
          <w:rFonts w:hint="eastAsia"/>
          <w:b/>
          <w:bCs/>
          <w:color w:val="auto"/>
          <w:lang w:val="en-US" w:eastAsia="zh-CN"/>
        </w:rPr>
        <w:t>6. 1. 3</w:t>
      </w:r>
      <w:r>
        <w:rPr>
          <w:rFonts w:hint="eastAsia"/>
          <w:color w:val="auto"/>
        </w:rPr>
        <w:t>　</w:t>
      </w:r>
      <w:r>
        <w:rPr>
          <w:rFonts w:hint="eastAsia"/>
          <w:color w:val="auto"/>
          <w:lang w:eastAsia="zh-CN"/>
        </w:rPr>
        <w:t>海拔</w:t>
      </w:r>
      <w:r>
        <w:rPr>
          <w:rFonts w:hint="eastAsia"/>
          <w:color w:val="auto"/>
          <w:lang w:val="en-US" w:eastAsia="zh-CN"/>
        </w:rPr>
        <w:t>超过</w:t>
      </w:r>
      <w:r>
        <w:rPr>
          <w:rFonts w:hint="eastAsia"/>
          <w:color w:val="auto"/>
          <w:lang w:eastAsia="zh-CN"/>
        </w:rPr>
        <w:t>2000m</w:t>
      </w:r>
      <w:r>
        <w:rPr>
          <w:rFonts w:hint="eastAsia"/>
          <w:color w:val="auto"/>
          <w:lang w:val="en-US" w:eastAsia="zh-CN"/>
        </w:rPr>
        <w:t>的地区，</w:t>
      </w:r>
      <w:r>
        <w:rPr>
          <w:rFonts w:hint="eastAsia"/>
          <w:color w:val="auto"/>
          <w:lang w:eastAsia="zh-CN"/>
        </w:rPr>
        <w:t>设备选型应考虑</w:t>
      </w:r>
      <w:r>
        <w:rPr>
          <w:rFonts w:hint="eastAsia"/>
          <w:color w:val="auto"/>
          <w:lang w:val="en-US" w:eastAsia="zh-CN"/>
        </w:rPr>
        <w:t>环境条件对设备性能的影响，</w:t>
      </w:r>
      <w:r>
        <w:rPr>
          <w:rFonts w:hint="eastAsia"/>
          <w:color w:val="auto"/>
          <w:lang w:eastAsia="zh-CN"/>
        </w:rPr>
        <w:t>组件、逆变器等关键设备需通过高海拔适应性试验。</w:t>
      </w:r>
    </w:p>
    <w:p w14:paraId="2E3F97D8">
      <w:pPr>
        <w:pStyle w:val="31"/>
        <w:bidi w:val="0"/>
        <w:outlineLvl w:val="1"/>
        <w:rPr>
          <w:color w:val="auto"/>
          <w:lang w:eastAsia="zh-CN"/>
        </w:rPr>
      </w:pPr>
      <w:bookmarkStart w:id="53" w:name="_Toc11909"/>
      <w:bookmarkStart w:id="54" w:name="_Toc4374"/>
      <w:bookmarkStart w:id="55" w:name="_Toc16956"/>
      <w:r>
        <w:rPr>
          <w:rFonts w:hint="eastAsia"/>
          <w:b/>
          <w:bCs/>
          <w:color w:val="auto"/>
          <w:lang w:val="en-US" w:eastAsia="zh-CN"/>
        </w:rPr>
        <w:t>6</w:t>
      </w:r>
      <w:r>
        <w:rPr>
          <w:rFonts w:hint="eastAsia"/>
          <w:b/>
          <w:bCs/>
          <w:color w:val="auto"/>
          <w:lang w:eastAsia="zh-CN"/>
        </w:rPr>
        <w:t>.</w:t>
      </w:r>
      <w:r>
        <w:rPr>
          <w:rFonts w:hint="eastAsia"/>
          <w:b/>
          <w:bCs/>
          <w:color w:val="auto"/>
          <w:lang w:val="en-US" w:eastAsia="zh-CN"/>
        </w:rPr>
        <w:t xml:space="preserve"> 2</w:t>
      </w:r>
      <w:r>
        <w:rPr>
          <w:rFonts w:hint="eastAsia" w:ascii="宋体" w:hAnsi="宋体" w:cs="宋体"/>
          <w:bCs/>
          <w:color w:val="auto"/>
          <w:kern w:val="44"/>
          <w:szCs w:val="44"/>
        </w:rPr>
        <w:t>　</w:t>
      </w:r>
      <w:r>
        <w:rPr>
          <w:rFonts w:hint="eastAsia"/>
          <w:color w:val="auto"/>
          <w:lang w:eastAsia="zh-CN"/>
        </w:rPr>
        <w:t>主要设备选择</w:t>
      </w:r>
      <w:bookmarkEnd w:id="53"/>
      <w:bookmarkEnd w:id="54"/>
      <w:bookmarkEnd w:id="55"/>
    </w:p>
    <w:p w14:paraId="24769714">
      <w:pPr>
        <w:pStyle w:val="29"/>
        <w:bidi w:val="0"/>
        <w:rPr>
          <w:rFonts w:hint="default"/>
          <w:color w:val="auto"/>
          <w:lang w:val="en-US" w:eastAsia="zh-CN"/>
        </w:rPr>
      </w:pPr>
      <w:r>
        <w:rPr>
          <w:rFonts w:hint="eastAsia"/>
          <w:b/>
          <w:bCs/>
          <w:color w:val="auto"/>
          <w:lang w:val="en-US" w:eastAsia="zh-CN"/>
        </w:rPr>
        <w:t>6. 2. 1</w:t>
      </w:r>
      <w:r>
        <w:rPr>
          <w:rFonts w:hint="eastAsia"/>
          <w:color w:val="auto"/>
        </w:rPr>
        <w:t>　</w:t>
      </w:r>
      <w:r>
        <w:rPr>
          <w:rFonts w:hint="eastAsia"/>
          <w:color w:val="auto"/>
          <w:lang w:eastAsia="zh-CN"/>
        </w:rPr>
        <w:t>光伏组件应根据</w:t>
      </w:r>
      <w:r>
        <w:rPr>
          <w:rFonts w:hint="eastAsia"/>
          <w:color w:val="auto"/>
          <w:lang w:val="en-US" w:eastAsia="zh-CN"/>
        </w:rPr>
        <w:t>站</w:t>
      </w:r>
      <w:r>
        <w:rPr>
          <w:rFonts w:hint="eastAsia"/>
          <w:color w:val="auto"/>
          <w:lang w:eastAsia="zh-CN"/>
        </w:rPr>
        <w:t>址太阳能资源、气候条件、场地条件等因素进行技术经济比选后确定，宜优先采用</w:t>
      </w:r>
      <w:r>
        <w:rPr>
          <w:rFonts w:hint="eastAsia"/>
          <w:color w:val="auto"/>
          <w:lang w:val="en-US" w:eastAsia="zh-CN"/>
        </w:rPr>
        <w:t>Ⅰ级能效的光伏组件。</w:t>
      </w:r>
    </w:p>
    <w:p w14:paraId="7DE38592">
      <w:pPr>
        <w:pStyle w:val="29"/>
        <w:bidi w:val="0"/>
        <w:rPr>
          <w:color w:val="auto"/>
          <w:lang w:eastAsia="zh-CN"/>
        </w:rPr>
      </w:pPr>
      <w:r>
        <w:rPr>
          <w:rFonts w:hint="eastAsia"/>
          <w:b/>
          <w:bCs/>
          <w:color w:val="auto"/>
          <w:lang w:val="en-US" w:eastAsia="zh-CN"/>
        </w:rPr>
        <w:t>6. 2. 2</w:t>
      </w:r>
      <w:r>
        <w:rPr>
          <w:rFonts w:hint="eastAsia"/>
          <w:color w:val="auto"/>
        </w:rPr>
        <w:t>　</w:t>
      </w:r>
      <w:r>
        <w:rPr>
          <w:rFonts w:hint="eastAsia"/>
          <w:color w:val="auto"/>
          <w:lang w:eastAsia="zh-CN"/>
        </w:rPr>
        <w:t>考虑山地光伏</w:t>
      </w:r>
      <w:r>
        <w:rPr>
          <w:rFonts w:hint="eastAsia"/>
          <w:color w:val="auto"/>
          <w:lang w:val="en-US" w:eastAsia="zh-CN"/>
        </w:rPr>
        <w:t>电站</w:t>
      </w:r>
      <w:r>
        <w:rPr>
          <w:rFonts w:hint="eastAsia"/>
          <w:color w:val="auto"/>
          <w:lang w:eastAsia="zh-CN"/>
        </w:rPr>
        <w:t>施工及运维复杂度，光伏组件规格宜采用行业通用标准，光伏组件应具备更优的防火设计和认证。</w:t>
      </w:r>
    </w:p>
    <w:p w14:paraId="30A95C0A">
      <w:pPr>
        <w:pStyle w:val="29"/>
        <w:bidi w:val="0"/>
        <w:rPr>
          <w:color w:val="auto"/>
          <w:lang w:eastAsia="zh-CN"/>
        </w:rPr>
      </w:pPr>
      <w:r>
        <w:rPr>
          <w:rFonts w:hint="eastAsia"/>
          <w:b/>
          <w:bCs/>
          <w:color w:val="auto"/>
          <w:lang w:val="en-US" w:eastAsia="zh-CN"/>
        </w:rPr>
        <w:t>6. 2. 3</w:t>
      </w:r>
      <w:r>
        <w:rPr>
          <w:rFonts w:hint="eastAsia"/>
          <w:color w:val="auto"/>
        </w:rPr>
        <w:t>　</w:t>
      </w:r>
      <w:r>
        <w:rPr>
          <w:rFonts w:hint="eastAsia"/>
          <w:color w:val="auto"/>
          <w:lang w:eastAsia="zh-CN"/>
        </w:rPr>
        <w:t>在高温高湿、强紫外线、阴影遮挡较大、强风、冰雹、交通运输条件差等环境下，光伏组件应通过PID、LID、抗阴影遮挡、风洞、冰雹、包装运输等加严测试。</w:t>
      </w:r>
    </w:p>
    <w:p w14:paraId="76A8A058">
      <w:pPr>
        <w:pStyle w:val="29"/>
        <w:bidi w:val="0"/>
        <w:rPr>
          <w:color w:val="auto"/>
          <w:lang w:eastAsia="zh-CN"/>
        </w:rPr>
      </w:pPr>
      <w:r>
        <w:rPr>
          <w:rFonts w:hint="eastAsia"/>
          <w:b/>
          <w:bCs/>
          <w:color w:val="auto"/>
          <w:lang w:val="en-US" w:eastAsia="zh-CN"/>
        </w:rPr>
        <w:t>6. 2. 4</w:t>
      </w:r>
      <w:r>
        <w:rPr>
          <w:rFonts w:hint="eastAsia"/>
          <w:color w:val="auto"/>
        </w:rPr>
        <w:t>　</w:t>
      </w:r>
      <w:r>
        <w:rPr>
          <w:rFonts w:hint="eastAsia"/>
          <w:color w:val="auto"/>
          <w:lang w:eastAsia="zh-CN"/>
        </w:rPr>
        <w:t>用于并网光伏发电系统的逆变器性能应符合现行国家标准《光伏发电并网逆变器技术要求》GB/T 37408的规定。</w:t>
      </w:r>
    </w:p>
    <w:p w14:paraId="292EB79C">
      <w:pPr>
        <w:pStyle w:val="29"/>
        <w:bidi w:val="0"/>
        <w:rPr>
          <w:color w:val="auto"/>
          <w:lang w:eastAsia="zh-CN"/>
        </w:rPr>
      </w:pPr>
      <w:r>
        <w:rPr>
          <w:rFonts w:hint="eastAsia"/>
          <w:b/>
          <w:bCs/>
          <w:color w:val="auto"/>
          <w:lang w:val="en-US" w:eastAsia="zh-CN"/>
        </w:rPr>
        <w:t>6. 2. 5</w:t>
      </w:r>
      <w:r>
        <w:rPr>
          <w:rFonts w:hint="eastAsia"/>
          <w:color w:val="auto"/>
        </w:rPr>
        <w:t>　</w:t>
      </w:r>
      <w:r>
        <w:rPr>
          <w:rFonts w:hint="eastAsia"/>
          <w:color w:val="auto"/>
          <w:lang w:eastAsia="zh-CN"/>
        </w:rPr>
        <w:t>大、中型山地光伏电站宜选用组串式逆变器，高海拔区域应选用高原型逆变器，并根据</w:t>
      </w:r>
      <w:r>
        <w:rPr>
          <w:rFonts w:hint="eastAsia"/>
          <w:color w:val="auto"/>
          <w:lang w:val="en-US" w:eastAsia="zh-CN"/>
        </w:rPr>
        <w:t>设备特性曲线进行降额分析。</w:t>
      </w:r>
    </w:p>
    <w:p w14:paraId="5C8F852D">
      <w:pPr>
        <w:pStyle w:val="29"/>
        <w:bidi w:val="0"/>
        <w:rPr>
          <w:color w:val="auto"/>
          <w:lang w:eastAsia="zh-CN"/>
        </w:rPr>
      </w:pPr>
      <w:r>
        <w:rPr>
          <w:rFonts w:hint="eastAsia"/>
          <w:b/>
          <w:bCs/>
          <w:color w:val="auto"/>
          <w:lang w:val="en-US" w:eastAsia="zh-CN"/>
        </w:rPr>
        <w:t>6. 2. 6</w:t>
      </w:r>
      <w:r>
        <w:rPr>
          <w:rFonts w:hint="eastAsia"/>
          <w:color w:val="auto"/>
        </w:rPr>
        <w:t>　</w:t>
      </w:r>
      <w:r>
        <w:rPr>
          <w:rFonts w:hint="eastAsia"/>
          <w:color w:val="auto"/>
          <w:lang w:eastAsia="zh-CN"/>
        </w:rPr>
        <w:t>户外布置的逆变器防护等级不应低于IP65，箱体需采取防腐、防晒、防冻措施，适应山地湿度大、温差剧烈的环境。</w:t>
      </w:r>
    </w:p>
    <w:p w14:paraId="7CA9E3F2">
      <w:pPr>
        <w:pStyle w:val="31"/>
        <w:bidi w:val="0"/>
        <w:outlineLvl w:val="1"/>
        <w:rPr>
          <w:color w:val="auto"/>
          <w:lang w:eastAsia="zh-CN"/>
        </w:rPr>
      </w:pPr>
      <w:bookmarkStart w:id="56" w:name="_Toc13675"/>
      <w:bookmarkStart w:id="57" w:name="_Toc25044"/>
      <w:bookmarkStart w:id="58" w:name="_Toc15804"/>
      <w:r>
        <w:rPr>
          <w:rFonts w:hint="eastAsia"/>
          <w:b/>
          <w:bCs/>
          <w:color w:val="auto"/>
          <w:lang w:val="en-US" w:eastAsia="zh-CN"/>
        </w:rPr>
        <w:t>6</w:t>
      </w:r>
      <w:r>
        <w:rPr>
          <w:rFonts w:hint="eastAsia"/>
          <w:b/>
          <w:bCs/>
          <w:color w:val="auto"/>
          <w:lang w:eastAsia="zh-CN"/>
        </w:rPr>
        <w:t>.</w:t>
      </w:r>
      <w:r>
        <w:rPr>
          <w:rFonts w:hint="eastAsia"/>
          <w:b/>
          <w:bCs/>
          <w:color w:val="auto"/>
          <w:lang w:val="en-US" w:eastAsia="zh-CN"/>
        </w:rPr>
        <w:t xml:space="preserve"> 3</w:t>
      </w:r>
      <w:r>
        <w:rPr>
          <w:rFonts w:hint="eastAsia" w:ascii="宋体" w:hAnsi="宋体" w:cs="宋体"/>
          <w:bCs/>
          <w:color w:val="auto"/>
          <w:kern w:val="44"/>
          <w:szCs w:val="44"/>
        </w:rPr>
        <w:t>　</w:t>
      </w:r>
      <w:r>
        <w:rPr>
          <w:rFonts w:hint="eastAsia"/>
          <w:color w:val="auto"/>
          <w:lang w:eastAsia="zh-CN"/>
        </w:rPr>
        <w:t>光伏方阵</w:t>
      </w:r>
      <w:bookmarkEnd w:id="56"/>
      <w:bookmarkEnd w:id="57"/>
      <w:bookmarkEnd w:id="58"/>
    </w:p>
    <w:p w14:paraId="3CDAD8BE">
      <w:pPr>
        <w:pStyle w:val="29"/>
        <w:bidi w:val="0"/>
        <w:rPr>
          <w:color w:val="auto"/>
          <w:lang w:eastAsia="zh-CN"/>
        </w:rPr>
      </w:pPr>
      <w:r>
        <w:rPr>
          <w:rFonts w:hint="eastAsia"/>
          <w:b/>
          <w:bCs/>
          <w:color w:val="auto"/>
          <w:lang w:val="en-US" w:eastAsia="zh-CN"/>
        </w:rPr>
        <w:t>6. 3. 1</w:t>
      </w:r>
      <w:r>
        <w:rPr>
          <w:rFonts w:hint="eastAsia"/>
          <w:color w:val="auto"/>
        </w:rPr>
        <w:t>　</w:t>
      </w:r>
      <w:r>
        <w:rPr>
          <w:rFonts w:hint="eastAsia"/>
          <w:color w:val="auto"/>
          <w:lang w:eastAsia="zh-CN"/>
        </w:rPr>
        <w:t>山地光伏电站宜优先采用固定倾角运行方式，光伏阵列倾角和间距应根据太阳能资源、负荷特性、土地成本、安装容量需求、地形条件等</w:t>
      </w:r>
      <w:r>
        <w:rPr>
          <w:rFonts w:hint="eastAsia"/>
          <w:color w:val="auto"/>
          <w:lang w:val="en-US" w:eastAsia="zh-CN"/>
        </w:rPr>
        <w:t>经</w:t>
      </w:r>
      <w:r>
        <w:rPr>
          <w:rFonts w:hint="eastAsia"/>
          <w:color w:val="auto"/>
          <w:lang w:eastAsia="zh-CN"/>
        </w:rPr>
        <w:t>技术经济比选后确定。</w:t>
      </w:r>
    </w:p>
    <w:p w14:paraId="3DBB5AD8">
      <w:pPr>
        <w:pStyle w:val="29"/>
        <w:bidi w:val="0"/>
        <w:rPr>
          <w:color w:val="auto"/>
          <w:lang w:eastAsia="zh-CN"/>
        </w:rPr>
      </w:pPr>
      <w:r>
        <w:rPr>
          <w:rFonts w:hint="eastAsia"/>
          <w:b/>
          <w:bCs/>
          <w:color w:val="auto"/>
          <w:lang w:val="en-US" w:eastAsia="zh-CN"/>
        </w:rPr>
        <w:t>6. 3. 2</w:t>
      </w:r>
      <w:r>
        <w:rPr>
          <w:rFonts w:hint="eastAsia"/>
          <w:color w:val="auto"/>
        </w:rPr>
        <w:t>　</w:t>
      </w:r>
      <w:r>
        <w:rPr>
          <w:rFonts w:hint="eastAsia"/>
          <w:color w:val="auto"/>
          <w:lang w:eastAsia="zh-CN"/>
        </w:rPr>
        <w:t>地形条件适宜的地区，光伏方阵可采用可调式</w:t>
      </w:r>
      <w:r>
        <w:rPr>
          <w:rFonts w:hint="eastAsia"/>
          <w:color w:val="auto"/>
          <w:lang w:val="en-US" w:eastAsia="zh-CN"/>
        </w:rPr>
        <w:t>倾角</w:t>
      </w:r>
      <w:r>
        <w:rPr>
          <w:rFonts w:hint="eastAsia"/>
          <w:color w:val="auto"/>
          <w:lang w:eastAsia="zh-CN"/>
        </w:rPr>
        <w:t>和跟踪式</w:t>
      </w:r>
      <w:r>
        <w:rPr>
          <w:rFonts w:hint="eastAsia"/>
          <w:color w:val="auto"/>
          <w:lang w:val="en-US" w:eastAsia="zh-CN"/>
        </w:rPr>
        <w:t>倾角方式运行</w:t>
      </w:r>
      <w:r>
        <w:rPr>
          <w:rFonts w:hint="eastAsia"/>
          <w:color w:val="auto"/>
          <w:lang w:eastAsia="zh-CN"/>
        </w:rPr>
        <w:t>，经技术经济比选后确定。</w:t>
      </w:r>
    </w:p>
    <w:p w14:paraId="364502E7">
      <w:pPr>
        <w:pStyle w:val="29"/>
        <w:bidi w:val="0"/>
        <w:outlineLvl w:val="9"/>
        <w:rPr>
          <w:color w:val="auto"/>
          <w:lang w:eastAsia="zh-CN"/>
        </w:rPr>
      </w:pPr>
      <w:r>
        <w:rPr>
          <w:rFonts w:hint="eastAsia"/>
          <w:b/>
          <w:bCs/>
          <w:color w:val="auto"/>
          <w:lang w:val="en-US" w:eastAsia="zh-CN"/>
        </w:rPr>
        <w:t>6. 3. 3</w:t>
      </w:r>
      <w:r>
        <w:rPr>
          <w:rFonts w:hint="eastAsia"/>
          <w:color w:val="auto"/>
        </w:rPr>
        <w:t>　</w:t>
      </w:r>
      <w:r>
        <w:rPr>
          <w:rFonts w:hint="eastAsia"/>
          <w:color w:val="auto"/>
          <w:lang w:eastAsia="zh-CN"/>
        </w:rPr>
        <w:t>光伏组件的串联数应按下列公式计算：</w:t>
      </w:r>
    </w:p>
    <w:p w14:paraId="22A11D79">
      <w:pPr>
        <w:pStyle w:val="29"/>
        <w:bidi w:val="0"/>
        <w:rPr>
          <w:rFonts w:hint="eastAsia" w:hAnsi="Cambria Math"/>
          <w:i w:val="0"/>
          <w:color w:val="auto"/>
        </w:rPr>
      </w:pPr>
      <m:oMathPara>
        <m:oMathParaPr>
          <m:jc m:val="center"/>
        </m:oMathParaPr>
        <m:oMath>
          <m:f>
            <m:fPr>
              <m:ctrlPr>
                <w:rPr>
                  <w:rFonts w:hint="eastAsia" w:ascii="Cambria Math" w:hAnsi="Cambria Math"/>
                  <w:color w:val="auto"/>
                </w:rPr>
              </m:ctrlPr>
            </m:fPr>
            <m:num>
              <m:sSub>
                <m:sSubPr>
                  <m:ctrlPr>
                    <w:rPr>
                      <w:rFonts w:hint="eastAsia" w:ascii="Cambria Math" w:hAnsi="Cambria Math"/>
                      <w:color w:val="auto"/>
                    </w:rPr>
                  </m:ctrlPr>
                </m:sSubPr>
                <m:e>
                  <m:r>
                    <m:rPr>
                      <m:sty m:val="p"/>
                    </m:rPr>
                    <w:rPr>
                      <w:rFonts w:hint="eastAsia" w:ascii="Cambria Math" w:hAnsi="Cambria Math"/>
                      <w:color w:val="auto"/>
                    </w:rPr>
                    <m:t>V</m:t>
                  </m:r>
                  <m:ctrlPr>
                    <w:rPr>
                      <w:rFonts w:hint="eastAsia" w:ascii="Cambria Math" w:hAnsi="Cambria Math"/>
                      <w:color w:val="auto"/>
                    </w:rPr>
                  </m:ctrlPr>
                </m:e>
                <m:sub>
                  <m:r>
                    <m:rPr>
                      <m:sty m:val="p"/>
                    </m:rPr>
                    <w:rPr>
                      <w:rFonts w:hint="eastAsia" w:ascii="Cambria Math" w:hAnsi="Cambria Math"/>
                      <w:color w:val="auto"/>
                    </w:rPr>
                    <m:t>m</m:t>
                  </m:r>
                  <m:r>
                    <m:rPr>
                      <m:sty m:val="p"/>
                    </m:rPr>
                    <w:rPr>
                      <w:rFonts w:hint="eastAsia" w:ascii="Cambria Math" w:hAnsi="Cambria Math"/>
                      <w:color w:val="auto"/>
                      <w:lang w:eastAsia="zh-CN"/>
                    </w:rPr>
                    <m:t>p</m:t>
                  </m:r>
                  <m:r>
                    <m:rPr>
                      <m:sty m:val="p"/>
                    </m:rPr>
                    <w:rPr>
                      <w:rFonts w:hint="eastAsia" w:ascii="Cambria Math" w:hAnsi="Cambria Math"/>
                      <w:color w:val="auto"/>
                    </w:rPr>
                    <m:t>ptmin</m:t>
                  </m:r>
                  <m:ctrlPr>
                    <w:rPr>
                      <w:rFonts w:hint="eastAsia" w:ascii="Cambria Math" w:hAnsi="Cambria Math"/>
                      <w:color w:val="auto"/>
                    </w:rPr>
                  </m:ctrlPr>
                </m:sub>
              </m:sSub>
              <m:ctrlPr>
                <w:rPr>
                  <w:rFonts w:hint="eastAsia" w:ascii="Cambria Math" w:hAnsi="Cambria Math"/>
                  <w:color w:val="auto"/>
                </w:rPr>
              </m:ctrlPr>
            </m:num>
            <m:den>
              <m:sSub>
                <m:sSubPr>
                  <m:ctrlPr>
                    <w:rPr>
                      <w:rFonts w:hint="eastAsia" w:ascii="Cambria Math" w:hAnsi="Cambria Math"/>
                      <w:color w:val="auto"/>
                    </w:rPr>
                  </m:ctrlPr>
                </m:sSubPr>
                <m:e>
                  <m:r>
                    <m:rPr>
                      <m:sty m:val="p"/>
                    </m:rPr>
                    <w:rPr>
                      <w:rFonts w:hint="eastAsia" w:ascii="Cambria Math" w:hAnsi="Cambria Math"/>
                      <w:color w:val="auto"/>
                    </w:rPr>
                    <m:t>V</m:t>
                  </m:r>
                  <m:ctrlPr>
                    <w:rPr>
                      <w:rFonts w:hint="eastAsia" w:ascii="Cambria Math" w:hAnsi="Cambria Math"/>
                      <w:color w:val="auto"/>
                    </w:rPr>
                  </m:ctrlPr>
                </m:e>
                <m:sub>
                  <m:r>
                    <m:rPr>
                      <m:sty m:val="p"/>
                    </m:rPr>
                    <w:rPr>
                      <w:rFonts w:hint="eastAsia" w:ascii="Cambria Math" w:hAnsi="Cambria Math"/>
                      <w:color w:val="auto"/>
                    </w:rPr>
                    <m:t>pm</m:t>
                  </m:r>
                  <m:ctrlPr>
                    <w:rPr>
                      <w:rFonts w:hint="eastAsia" w:ascii="Cambria Math" w:hAnsi="Cambria Math"/>
                      <w:color w:val="auto"/>
                    </w:rPr>
                  </m:ctrlPr>
                </m:sub>
              </m:sSub>
              <m:r>
                <m:rPr>
                  <m:sty m:val="p"/>
                </m:rPr>
                <w:rPr>
                  <w:rFonts w:hint="eastAsia" w:ascii="Cambria Math" w:hAnsi="Cambria Math"/>
                  <w:color w:val="auto"/>
                </w:rPr>
                <m:t>×</m:t>
              </m:r>
              <m:d>
                <m:dPr>
                  <m:begChr m:val="["/>
                  <m:endChr m:val="]"/>
                  <m:ctrlPr>
                    <w:rPr>
                      <w:rFonts w:hint="eastAsia" w:ascii="Cambria Math" w:hAnsi="Cambria Math"/>
                      <w:color w:val="auto"/>
                    </w:rPr>
                  </m:ctrlPr>
                </m:dPr>
                <m:e>
                  <m:r>
                    <m:rPr>
                      <m:sty m:val="p"/>
                    </m:rPr>
                    <w:rPr>
                      <w:rFonts w:hint="eastAsia" w:ascii="Cambria Math" w:hAnsi="Cambria Math"/>
                      <w:color w:val="auto"/>
                    </w:rPr>
                    <m:t>1+</m:t>
                  </m:r>
                  <m:d>
                    <m:dPr>
                      <m:ctrlPr>
                        <w:rPr>
                          <w:rFonts w:hint="eastAsia" w:ascii="Cambria Math" w:hAnsi="Cambria Math"/>
                          <w:color w:val="auto"/>
                        </w:rPr>
                      </m:ctrlPr>
                    </m:dPr>
                    <m:e>
                      <m:sSup>
                        <m:sSupPr>
                          <m:ctrlPr>
                            <w:rPr>
                              <w:rFonts w:hint="eastAsia" w:ascii="Cambria Math" w:hAnsi="Cambria Math"/>
                              <w:color w:val="auto"/>
                            </w:rPr>
                          </m:ctrlPr>
                        </m:sSupPr>
                        <m:e>
                          <m:r>
                            <m:rPr>
                              <m:sty m:val="p"/>
                            </m:rPr>
                            <w:rPr>
                              <w:rFonts w:hint="eastAsia" w:ascii="Cambria Math" w:hAnsi="Cambria Math"/>
                              <w:color w:val="auto"/>
                            </w:rPr>
                            <m:t>t</m:t>
                          </m:r>
                          <m:ctrlPr>
                            <w:rPr>
                              <w:rFonts w:hint="eastAsia" w:ascii="Cambria Math" w:hAnsi="Cambria Math"/>
                              <w:color w:val="auto"/>
                            </w:rPr>
                          </m:ctrlPr>
                        </m:e>
                        <m:sup>
                          <m:r>
                            <m:rPr>
                              <m:sty m:val="p"/>
                            </m:rPr>
                            <w:rPr>
                              <w:rFonts w:hint="eastAsia" w:ascii="Cambria Math" w:hAnsi="Cambria Math"/>
                              <w:color w:val="auto"/>
                            </w:rPr>
                            <m:t>'</m:t>
                          </m:r>
                          <m:ctrlPr>
                            <w:rPr>
                              <w:rFonts w:hint="eastAsia" w:ascii="Cambria Math" w:hAnsi="Cambria Math"/>
                              <w:color w:val="auto"/>
                            </w:rPr>
                          </m:ctrlPr>
                        </m:sup>
                      </m:sSup>
                      <m:r>
                        <m:rPr>
                          <m:sty m:val="p"/>
                        </m:rPr>
                        <w:rPr>
                          <w:rFonts w:hint="eastAsia" w:ascii="Cambria Math" w:hAnsi="Cambria Math"/>
                          <w:color w:val="auto"/>
                        </w:rPr>
                        <m:t>−25</m:t>
                      </m:r>
                      <m:ctrlPr>
                        <w:rPr>
                          <w:rFonts w:hint="eastAsia" w:ascii="Cambria Math" w:hAnsi="Cambria Math"/>
                          <w:color w:val="auto"/>
                        </w:rPr>
                      </m:ctrlPr>
                    </m:e>
                  </m:d>
                  <m:r>
                    <m:rPr>
                      <m:sty m:val="p"/>
                    </m:rPr>
                    <w:rPr>
                      <w:rFonts w:hint="eastAsia" w:ascii="Cambria Math" w:hAnsi="Cambria Math"/>
                      <w:color w:val="auto"/>
                    </w:rPr>
                    <m:t>×</m:t>
                  </m:r>
                  <m:sSubSup>
                    <m:sSubSupPr>
                      <m:ctrlPr>
                        <w:rPr>
                          <w:rFonts w:hint="eastAsia" w:ascii="Cambria Math" w:hAnsi="Cambria Math"/>
                          <w:color w:val="auto"/>
                        </w:rPr>
                      </m:ctrlPr>
                    </m:sSubSupPr>
                    <m:e>
                      <m:r>
                        <m:rPr>
                          <m:sty m:val="p"/>
                        </m:rPr>
                        <w:rPr>
                          <w:rFonts w:hint="eastAsia" w:ascii="Cambria Math" w:hAnsi="Cambria Math"/>
                          <w:color w:val="auto"/>
                        </w:rPr>
                        <m:t>K</m:t>
                      </m:r>
                      <m:ctrlPr>
                        <w:rPr>
                          <w:rFonts w:hint="eastAsia" w:ascii="Cambria Math" w:hAnsi="Cambria Math"/>
                          <w:color w:val="auto"/>
                        </w:rPr>
                      </m:ctrlPr>
                    </m:e>
                    <m:sub>
                      <m:r>
                        <m:rPr>
                          <m:sty m:val="p"/>
                        </m:rPr>
                        <w:rPr>
                          <w:rFonts w:hint="eastAsia" w:ascii="Cambria Math" w:hAnsi="Cambria Math"/>
                          <w:color w:val="auto"/>
                        </w:rPr>
                        <m:t>v</m:t>
                      </m:r>
                      <m:ctrlPr>
                        <w:rPr>
                          <w:rFonts w:hint="eastAsia" w:ascii="Cambria Math" w:hAnsi="Cambria Math"/>
                          <w:color w:val="auto"/>
                        </w:rPr>
                      </m:ctrlPr>
                    </m:sub>
                    <m:sup>
                      <m:r>
                        <m:rPr>
                          <m:sty m:val="p"/>
                        </m:rPr>
                        <w:rPr>
                          <w:rFonts w:hint="eastAsia" w:ascii="Cambria Math" w:hAnsi="Cambria Math"/>
                          <w:color w:val="auto"/>
                        </w:rPr>
                        <m:t>'</m:t>
                      </m:r>
                      <m:ctrlPr>
                        <w:rPr>
                          <w:rFonts w:hint="eastAsia" w:ascii="Cambria Math" w:hAnsi="Cambria Math"/>
                          <w:color w:val="auto"/>
                        </w:rPr>
                      </m:ctrlPr>
                    </m:sup>
                  </m:sSubSup>
                  <m:ctrlPr>
                    <w:rPr>
                      <w:rFonts w:hint="eastAsia" w:ascii="Cambria Math" w:hAnsi="Cambria Math"/>
                      <w:color w:val="auto"/>
                    </w:rPr>
                  </m:ctrlPr>
                </m:e>
              </m:d>
              <m:ctrlPr>
                <w:rPr>
                  <w:rFonts w:hint="eastAsia" w:ascii="Cambria Math" w:hAnsi="Cambria Math"/>
                  <w:color w:val="auto"/>
                </w:rPr>
              </m:ctrlPr>
            </m:den>
          </m:f>
          <m:r>
            <m:rPr>
              <m:sty m:val="p"/>
            </m:rPr>
            <w:rPr>
              <w:rFonts w:hint="eastAsia" w:ascii="Cambria Math" w:hAnsi="Cambria Math"/>
              <w:color w:val="auto"/>
            </w:rPr>
            <m:t>≤N≤</m:t>
          </m:r>
          <m:f>
            <m:fPr>
              <m:ctrlPr>
                <w:rPr>
                  <w:rFonts w:hint="eastAsia" w:ascii="Cambria Math" w:hAnsi="Cambria Math"/>
                  <w:color w:val="auto"/>
                </w:rPr>
              </m:ctrlPr>
            </m:fPr>
            <m:num>
              <m:sSub>
                <m:sSubPr>
                  <m:ctrlPr>
                    <w:rPr>
                      <w:rFonts w:hint="eastAsia" w:ascii="Cambria Math" w:hAnsi="Cambria Math"/>
                      <w:color w:val="auto"/>
                    </w:rPr>
                  </m:ctrlPr>
                </m:sSubPr>
                <m:e>
                  <m:r>
                    <m:rPr>
                      <m:sty m:val="p"/>
                    </m:rPr>
                    <w:rPr>
                      <w:rFonts w:hint="eastAsia" w:ascii="Cambria Math" w:hAnsi="Cambria Math"/>
                      <w:color w:val="auto"/>
                    </w:rPr>
                    <m:t>V</m:t>
                  </m:r>
                  <m:ctrlPr>
                    <w:rPr>
                      <w:rFonts w:hint="eastAsia" w:ascii="Cambria Math" w:hAnsi="Cambria Math"/>
                      <w:color w:val="auto"/>
                    </w:rPr>
                  </m:ctrlPr>
                </m:e>
                <m:sub>
                  <m:r>
                    <m:rPr>
                      <m:sty m:val="p"/>
                    </m:rPr>
                    <w:rPr>
                      <w:rFonts w:hint="eastAsia" w:ascii="Cambria Math" w:hAnsi="Cambria Math"/>
                      <w:color w:val="auto"/>
                    </w:rPr>
                    <m:t>dmax</m:t>
                  </m:r>
                  <m:ctrlPr>
                    <w:rPr>
                      <w:rFonts w:hint="eastAsia" w:ascii="Cambria Math" w:hAnsi="Cambria Math"/>
                      <w:color w:val="auto"/>
                    </w:rPr>
                  </m:ctrlPr>
                </m:sub>
              </m:sSub>
              <m:ctrlPr>
                <w:rPr>
                  <w:rFonts w:hint="eastAsia" w:ascii="Cambria Math" w:hAnsi="Cambria Math"/>
                  <w:color w:val="auto"/>
                </w:rPr>
              </m:ctrlPr>
            </m:num>
            <m:den>
              <m:sSub>
                <m:sSubPr>
                  <m:ctrlPr>
                    <w:rPr>
                      <w:rFonts w:hint="eastAsia" w:ascii="Cambria Math" w:hAnsi="Cambria Math"/>
                      <w:color w:val="auto"/>
                    </w:rPr>
                  </m:ctrlPr>
                </m:sSubPr>
                <m:e>
                  <m:r>
                    <m:rPr>
                      <m:sty m:val="p"/>
                    </m:rPr>
                    <w:rPr>
                      <w:rFonts w:hint="eastAsia" w:ascii="Cambria Math" w:hAnsi="Cambria Math"/>
                      <w:color w:val="auto"/>
                    </w:rPr>
                    <m:t>V</m:t>
                  </m:r>
                  <m:ctrlPr>
                    <w:rPr>
                      <w:rFonts w:hint="eastAsia" w:ascii="Cambria Math" w:hAnsi="Cambria Math"/>
                      <w:color w:val="auto"/>
                    </w:rPr>
                  </m:ctrlPr>
                </m:e>
                <m:sub>
                  <m:r>
                    <m:rPr>
                      <m:sty m:val="p"/>
                    </m:rPr>
                    <w:rPr>
                      <w:rFonts w:hint="eastAsia" w:ascii="Cambria Math" w:hAnsi="Cambria Math"/>
                      <w:color w:val="auto"/>
                    </w:rPr>
                    <m:t>oc</m:t>
                  </m:r>
                  <m:ctrlPr>
                    <w:rPr>
                      <w:rFonts w:hint="eastAsia" w:ascii="Cambria Math" w:hAnsi="Cambria Math"/>
                      <w:color w:val="auto"/>
                    </w:rPr>
                  </m:ctrlPr>
                </m:sub>
              </m:sSub>
              <m:r>
                <m:rPr>
                  <m:sty m:val="p"/>
                </m:rPr>
                <w:rPr>
                  <w:rFonts w:hint="eastAsia" w:ascii="Cambria Math" w:hAnsi="Cambria Math"/>
                  <w:color w:val="auto"/>
                </w:rPr>
                <m:t>×</m:t>
              </m:r>
              <m:d>
                <m:dPr>
                  <m:begChr m:val="["/>
                  <m:endChr m:val="]"/>
                  <m:ctrlPr>
                    <w:rPr>
                      <w:rFonts w:hint="eastAsia" w:ascii="Cambria Math" w:hAnsi="Cambria Math"/>
                      <w:color w:val="auto"/>
                    </w:rPr>
                  </m:ctrlPr>
                </m:dPr>
                <m:e>
                  <m:r>
                    <m:rPr>
                      <m:sty m:val="p"/>
                    </m:rPr>
                    <w:rPr>
                      <w:rFonts w:hint="eastAsia" w:ascii="Cambria Math" w:hAnsi="Cambria Math"/>
                      <w:color w:val="auto"/>
                    </w:rPr>
                    <m:t>1+</m:t>
                  </m:r>
                  <m:d>
                    <m:dPr>
                      <m:ctrlPr>
                        <w:rPr>
                          <w:rFonts w:hint="eastAsia" w:ascii="Cambria Math" w:hAnsi="Cambria Math"/>
                          <w:color w:val="auto"/>
                        </w:rPr>
                      </m:ctrlPr>
                    </m:dPr>
                    <m:e>
                      <m:r>
                        <m:rPr>
                          <m:sty m:val="p"/>
                        </m:rPr>
                        <w:rPr>
                          <w:rFonts w:hint="eastAsia" w:ascii="Cambria Math" w:hAnsi="Cambria Math"/>
                          <w:color w:val="auto"/>
                        </w:rPr>
                        <m:t>t−25</m:t>
                      </m:r>
                      <m:ctrlPr>
                        <w:rPr>
                          <w:rFonts w:hint="eastAsia" w:ascii="Cambria Math" w:hAnsi="Cambria Math"/>
                          <w:color w:val="auto"/>
                        </w:rPr>
                      </m:ctrlPr>
                    </m:e>
                  </m:d>
                  <m:r>
                    <m:rPr>
                      <m:sty m:val="p"/>
                    </m:rPr>
                    <w:rPr>
                      <w:rFonts w:hint="eastAsia" w:ascii="Cambria Math" w:hAnsi="Cambria Math"/>
                      <w:color w:val="auto"/>
                    </w:rPr>
                    <m:t>×</m:t>
                  </m:r>
                  <m:sSub>
                    <m:sSubPr>
                      <m:ctrlPr>
                        <w:rPr>
                          <w:rFonts w:hint="eastAsia" w:ascii="Cambria Math" w:hAnsi="Cambria Math"/>
                          <w:color w:val="auto"/>
                        </w:rPr>
                      </m:ctrlPr>
                    </m:sSubPr>
                    <m:e>
                      <m:r>
                        <m:rPr>
                          <m:sty m:val="p"/>
                        </m:rPr>
                        <w:rPr>
                          <w:rFonts w:hint="eastAsia" w:ascii="Cambria Math" w:hAnsi="Cambria Math"/>
                          <w:color w:val="auto"/>
                        </w:rPr>
                        <m:t>K</m:t>
                      </m:r>
                      <m:ctrlPr>
                        <w:rPr>
                          <w:rFonts w:hint="eastAsia" w:ascii="Cambria Math" w:hAnsi="Cambria Math"/>
                          <w:color w:val="auto"/>
                        </w:rPr>
                      </m:ctrlPr>
                    </m:e>
                    <m:sub>
                      <m:r>
                        <m:rPr>
                          <m:sty m:val="p"/>
                        </m:rPr>
                        <w:rPr>
                          <w:rFonts w:hint="eastAsia" w:ascii="Cambria Math" w:hAnsi="Cambria Math"/>
                          <w:color w:val="auto"/>
                        </w:rPr>
                        <m:t>v</m:t>
                      </m:r>
                      <m:ctrlPr>
                        <w:rPr>
                          <w:rFonts w:hint="eastAsia" w:ascii="Cambria Math" w:hAnsi="Cambria Math"/>
                          <w:color w:val="auto"/>
                        </w:rPr>
                      </m:ctrlPr>
                    </m:sub>
                  </m:sSub>
                  <m:ctrlPr>
                    <w:rPr>
                      <w:rFonts w:hint="eastAsia" w:ascii="Cambria Math" w:hAnsi="Cambria Math"/>
                      <w:color w:val="auto"/>
                    </w:rPr>
                  </m:ctrlPr>
                </m:e>
              </m:d>
              <m:ctrlPr>
                <w:rPr>
                  <w:rFonts w:hint="eastAsia" w:ascii="Cambria Math" w:hAnsi="Cambria Math"/>
                  <w:color w:val="auto"/>
                </w:rPr>
              </m:ctrlPr>
            </m:den>
          </m:f>
        </m:oMath>
      </m:oMathPara>
    </w:p>
    <w:p w14:paraId="1724195D">
      <w:pPr>
        <w:pStyle w:val="29"/>
        <w:bidi w:val="0"/>
        <w:rPr>
          <w:rFonts w:hint="default" w:hAnsi="Cambria Math"/>
          <w:i w:val="0"/>
          <w:color w:val="auto"/>
          <w:lang w:val="en-US" w:eastAsia="zh-CN"/>
        </w:rPr>
      </w:pPr>
      <w:r>
        <w:rPr>
          <w:rFonts w:hint="eastAsia" w:hAnsi="Cambria Math"/>
          <w:i w:val="0"/>
          <w:color w:val="auto"/>
          <w:lang w:val="en-US" w:eastAsia="zh-CN"/>
        </w:rPr>
        <w:t>（</w:t>
      </w:r>
      <w:r>
        <w:rPr>
          <w:rFonts w:hint="eastAsia"/>
          <w:b/>
          <w:bCs/>
          <w:color w:val="auto"/>
          <w:lang w:val="en-US" w:eastAsia="zh-CN"/>
        </w:rPr>
        <w:t>6. 3. 3-1</w:t>
      </w:r>
      <w:r>
        <w:rPr>
          <w:rFonts w:hint="eastAsia" w:hAnsi="Cambria Math"/>
          <w:i w:val="0"/>
          <w:color w:val="auto"/>
          <w:lang w:val="en-US" w:eastAsia="zh-CN"/>
        </w:rPr>
        <w:t>）</w:t>
      </w:r>
    </w:p>
    <w:p w14:paraId="66181E8D">
      <w:pPr>
        <w:pStyle w:val="29"/>
        <w:bidi w:val="0"/>
        <w:ind w:firstLine="560" w:firstLineChars="200"/>
        <w:rPr>
          <w:color w:val="auto"/>
          <w:lang w:eastAsia="zh-CN"/>
        </w:rPr>
      </w:pPr>
      <w:r>
        <w:rPr>
          <w:rFonts w:hint="eastAsia"/>
          <w:color w:val="auto"/>
          <w:lang w:eastAsia="zh-CN"/>
        </w:rPr>
        <w:t>式中：​​</w:t>
      </w:r>
    </w:p>
    <w:p w14:paraId="1DE3DE18">
      <w:pPr>
        <w:pStyle w:val="29"/>
        <w:bidi w:val="0"/>
        <w:ind w:firstLine="560" w:firstLineChars="200"/>
        <w:rPr>
          <w:color w:val="auto"/>
          <w:lang w:eastAsia="zh-CN"/>
        </w:rPr>
      </w:pPr>
      <w:r>
        <w:rPr>
          <w:color w:val="auto"/>
          <w:lang w:eastAsia="zh-CN"/>
        </w:rPr>
        <w:t>K</w:t>
      </w:r>
      <w:r>
        <w:rPr>
          <w:rFonts w:hint="eastAsia"/>
          <w:color w:val="auto"/>
          <w:lang w:eastAsia="zh-CN"/>
        </w:rPr>
        <w:t>v</w:t>
      </w:r>
      <w:r>
        <w:rPr>
          <w:color w:val="auto"/>
          <w:lang w:eastAsia="zh-CN"/>
        </w:rPr>
        <w:t>——光伏组件的开路电压温度系数；</w:t>
      </w:r>
    </w:p>
    <w:p w14:paraId="7EEAF06C">
      <w:pPr>
        <w:pStyle w:val="29"/>
        <w:bidi w:val="0"/>
        <w:ind w:firstLine="560" w:firstLineChars="200"/>
        <w:rPr>
          <w:color w:val="auto"/>
          <w:lang w:eastAsia="zh-CN"/>
        </w:rPr>
      </w:pPr>
      <w:r>
        <w:rPr>
          <w:color w:val="auto"/>
          <w:lang w:eastAsia="zh-CN"/>
        </w:rPr>
        <w:t>Kv′——光伏组件的工作电压温度系数；</w:t>
      </w:r>
    </w:p>
    <w:p w14:paraId="57C2B696">
      <w:pPr>
        <w:pStyle w:val="29"/>
        <w:bidi w:val="0"/>
        <w:ind w:firstLine="560" w:firstLineChars="200"/>
        <w:rPr>
          <w:color w:val="auto"/>
          <w:lang w:eastAsia="zh-CN"/>
        </w:rPr>
      </w:pPr>
      <w:r>
        <w:rPr>
          <w:color w:val="auto"/>
          <w:lang w:eastAsia="zh-CN"/>
        </w:rPr>
        <w:t>N——光伏组件的串联数（N取整）；</w:t>
      </w:r>
    </w:p>
    <w:p w14:paraId="6FEC2DFE">
      <w:pPr>
        <w:pStyle w:val="29"/>
        <w:bidi w:val="0"/>
        <w:ind w:firstLine="560" w:firstLineChars="200"/>
        <w:rPr>
          <w:color w:val="auto"/>
          <w:lang w:eastAsia="zh-CN"/>
        </w:rPr>
      </w:pPr>
      <w:r>
        <w:rPr>
          <w:color w:val="auto"/>
          <w:lang w:eastAsia="zh-CN"/>
        </w:rPr>
        <w:t>t——昼间环境下光伏组件的极限低温（℃）；</w:t>
      </w:r>
    </w:p>
    <w:p w14:paraId="767FEDAA">
      <w:pPr>
        <w:pStyle w:val="29"/>
        <w:bidi w:val="0"/>
        <w:ind w:firstLine="560" w:firstLineChars="200"/>
        <w:rPr>
          <w:color w:val="auto"/>
          <w:lang w:eastAsia="zh-CN"/>
        </w:rPr>
      </w:pPr>
      <w:r>
        <w:rPr>
          <w:color w:val="auto"/>
          <w:lang w:eastAsia="zh-CN"/>
        </w:rPr>
        <w:t>t′——工作状态下光伏组件的电池极限高温（℃）；</w:t>
      </w:r>
    </w:p>
    <w:p w14:paraId="387E464A">
      <w:pPr>
        <w:pStyle w:val="29"/>
        <w:bidi w:val="0"/>
        <w:ind w:firstLine="560" w:firstLineChars="200"/>
        <w:rPr>
          <w:color w:val="auto"/>
          <w:lang w:eastAsia="zh-CN"/>
        </w:rPr>
      </w:pPr>
      <w:r>
        <w:rPr>
          <w:color w:val="auto"/>
          <w:lang w:eastAsia="zh-CN"/>
        </w:rPr>
        <w:t>Vdcmax——逆变器和光伏组件允许的最大系统电压，取两者小值（V）；</w:t>
      </w:r>
    </w:p>
    <w:p w14:paraId="43D6FFDF">
      <w:pPr>
        <w:pStyle w:val="29"/>
        <w:bidi w:val="0"/>
        <w:ind w:firstLine="560" w:firstLineChars="200"/>
        <w:rPr>
          <w:color w:val="auto"/>
          <w:lang w:eastAsia="zh-CN"/>
        </w:rPr>
      </w:pPr>
      <w:r>
        <w:rPr>
          <w:color w:val="auto"/>
          <w:lang w:eastAsia="zh-CN"/>
        </w:rPr>
        <w:t>Vmpptmin——逆变器MPPT电压最小值（V）；</w:t>
      </w:r>
    </w:p>
    <w:p w14:paraId="23245225">
      <w:pPr>
        <w:pStyle w:val="29"/>
        <w:bidi w:val="0"/>
        <w:ind w:firstLine="560" w:firstLineChars="200"/>
        <w:rPr>
          <w:color w:val="auto"/>
          <w:lang w:eastAsia="zh-CN"/>
        </w:rPr>
      </w:pPr>
      <w:r>
        <w:rPr>
          <w:color w:val="auto"/>
          <w:lang w:eastAsia="zh-CN"/>
        </w:rPr>
        <w:t>Voc——光伏组件的开路电压（V）；</w:t>
      </w:r>
    </w:p>
    <w:p w14:paraId="6E82EAF9">
      <w:pPr>
        <w:pStyle w:val="29"/>
        <w:bidi w:val="0"/>
        <w:ind w:firstLine="560" w:firstLineChars="200"/>
        <w:rPr>
          <w:color w:val="auto"/>
          <w:lang w:eastAsia="zh-CN"/>
        </w:rPr>
      </w:pPr>
      <w:r>
        <w:rPr>
          <w:color w:val="auto"/>
          <w:lang w:eastAsia="zh-CN"/>
        </w:rPr>
        <w:t>Vpm——光伏组件的最佳工作电压（V）。</w:t>
      </w:r>
    </w:p>
    <w:p w14:paraId="4CDDDC33">
      <w:pPr>
        <w:pStyle w:val="29"/>
        <w:bidi w:val="0"/>
        <w:ind w:firstLine="560" w:firstLineChars="200"/>
        <w:rPr>
          <w:color w:val="auto"/>
          <w:lang w:eastAsia="zh-CN"/>
        </w:rPr>
      </w:pPr>
      <w:r>
        <w:rPr>
          <w:rFonts w:hint="eastAsia"/>
          <w:color w:val="auto"/>
          <w:lang w:eastAsia="zh-CN"/>
        </w:rPr>
        <w:t>山地光伏电站依据代表性气象站数据计算时，宜按以下原则：</w:t>
      </w:r>
    </w:p>
    <w:p w14:paraId="4BC16948">
      <w:pPr>
        <w:pStyle w:val="29"/>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val="en-US" w:eastAsia="zh-CN"/>
        </w:rPr>
        <w:t>站</w:t>
      </w:r>
      <w:r>
        <w:rPr>
          <w:rFonts w:hint="eastAsia"/>
          <w:color w:val="auto"/>
          <w:lang w:eastAsia="zh-CN"/>
        </w:rPr>
        <w:t>址区极端最低（高）气温宜根据代表性气象站极端最低（高）气温按</w:t>
      </w:r>
      <w:r>
        <w:rPr>
          <w:rFonts w:hint="eastAsia"/>
          <w:color w:val="auto"/>
          <w:lang w:val="en-US" w:eastAsia="zh-CN"/>
        </w:rPr>
        <w:t>站</w:t>
      </w:r>
      <w:r>
        <w:rPr>
          <w:rFonts w:hint="eastAsia"/>
          <w:color w:val="auto"/>
          <w:lang w:eastAsia="zh-CN"/>
        </w:rPr>
        <w:t>址最高（低）海拔修正。</w:t>
      </w:r>
    </w:p>
    <w:p w14:paraId="69DCBA6E">
      <w:pPr>
        <w:pStyle w:val="29"/>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宜根据</w:t>
      </w:r>
      <w:r>
        <w:rPr>
          <w:rFonts w:hint="eastAsia"/>
          <w:color w:val="auto"/>
          <w:lang w:val="en-US" w:eastAsia="zh-CN"/>
        </w:rPr>
        <w:t>站</w:t>
      </w:r>
      <w:r>
        <w:rPr>
          <w:rFonts w:hint="eastAsia"/>
          <w:color w:val="auto"/>
          <w:lang w:eastAsia="zh-CN"/>
        </w:rPr>
        <w:t>址极端最低气温、不同辐射强度分别计算光伏组件的极限低温，根据不同辐射强度工况对应的组件开路电压计算组件串联数量并取最小值。光伏组件极限低温按下式计算：</w:t>
      </w:r>
    </w:p>
    <w:p w14:paraId="4A65C3EF">
      <w:pPr>
        <w:pStyle w:val="29"/>
        <w:bidi w:val="0"/>
        <w:ind w:left="0" w:leftChars="0" w:right="0" w:rightChars="0" w:firstLine="0" w:firstLineChars="0"/>
        <w:jc w:val="center"/>
        <w:rPr>
          <w:rFonts w:hint="default"/>
          <w:color w:val="auto"/>
          <w:lang w:val="en-US" w:eastAsia="zh-CN"/>
        </w:rPr>
      </w:pPr>
      <m:oMath>
        <m:r>
          <m:rPr>
            <m:sty m:val="p"/>
          </m:rPr>
          <w:rPr>
            <w:rFonts w:hint="eastAsia" w:ascii="Cambria Math" w:hAnsi="Cambria Math"/>
            <w:color w:val="auto"/>
            <w:lang w:eastAsia="zh-CN"/>
          </w:rPr>
          <m:t>t=</m:t>
        </m:r>
        <m:sSub>
          <m:sSubPr>
            <m:ctrlPr>
              <w:rPr>
                <w:rFonts w:hint="eastAsia" w:ascii="Cambria Math" w:hAnsi="Cambria Math"/>
                <w:color w:val="auto"/>
              </w:rPr>
            </m:ctrlPr>
          </m:sSubPr>
          <m:e>
            <m:r>
              <m:rPr>
                <m:sty m:val="p"/>
              </m:rPr>
              <w:rPr>
                <w:rFonts w:ascii="Cambria Math" w:hAnsi="Cambria Math"/>
                <w:color w:val="auto"/>
                <w:lang w:eastAsia="zh-CN"/>
              </w:rPr>
              <m:t>t</m:t>
            </m:r>
            <m:ctrlPr>
              <w:rPr>
                <w:rFonts w:hint="eastAsia" w:ascii="Cambria Math" w:hAnsi="Cambria Math"/>
                <w:color w:val="auto"/>
              </w:rPr>
            </m:ctrlPr>
          </m:e>
          <m:sub>
            <m:r>
              <m:rPr>
                <m:sty m:val="p"/>
              </m:rPr>
              <w:rPr>
                <w:rFonts w:ascii="Cambria Math" w:hAnsi="Cambria Math"/>
                <w:color w:val="auto"/>
                <w:lang w:eastAsia="zh-CN"/>
              </w:rPr>
              <m:t>amb</m:t>
            </m:r>
            <m:ctrlPr>
              <w:rPr>
                <w:rFonts w:hint="eastAsia" w:ascii="Cambria Math" w:hAnsi="Cambria Math"/>
                <w:color w:val="auto"/>
              </w:rPr>
            </m:ctrlPr>
          </m:sub>
        </m:sSub>
        <m:r>
          <m:rPr>
            <m:sty m:val="p"/>
          </m:rPr>
          <w:rPr>
            <w:rFonts w:ascii="Cambria Math" w:hAnsi="Cambria Math"/>
            <w:color w:val="auto"/>
            <w:lang w:eastAsia="zh-CN"/>
          </w:rPr>
          <m:t>+0.033</m:t>
        </m:r>
        <m:sSub>
          <m:sSubPr>
            <m:ctrlPr>
              <w:rPr>
                <w:rFonts w:ascii="Cambria Math" w:hAnsi="Cambria Math"/>
                <w:color w:val="auto"/>
                <w:lang w:eastAsia="zh-CN"/>
              </w:rPr>
            </m:ctrlPr>
          </m:sSubPr>
          <m:e>
            <m:r>
              <m:rPr>
                <m:sty m:val="p"/>
              </m:rPr>
              <w:rPr>
                <w:rFonts w:ascii="Cambria Math" w:hAnsi="Cambria Math"/>
                <w:color w:val="auto"/>
                <w:lang w:eastAsia="zh-CN"/>
              </w:rPr>
              <m:t>I</m:t>
            </m:r>
            <m:ctrlPr>
              <w:rPr>
                <w:rFonts w:ascii="Cambria Math" w:hAnsi="Cambria Math"/>
                <w:color w:val="auto"/>
                <w:lang w:eastAsia="zh-CN"/>
              </w:rPr>
            </m:ctrlPr>
          </m:e>
          <m:sub>
            <m:r>
              <m:rPr>
                <m:sty m:val="p"/>
              </m:rPr>
              <w:rPr>
                <w:rFonts w:hint="eastAsia" w:ascii="Cambria Math" w:hAnsi="Cambria Math"/>
                <w:color w:val="auto"/>
                <w:lang w:eastAsia="zh-CN"/>
              </w:rPr>
              <m:t>rad</m:t>
            </m:r>
            <m:ctrlPr>
              <w:rPr>
                <w:rFonts w:ascii="Cambria Math" w:hAnsi="Cambria Math"/>
                <w:color w:val="auto"/>
                <w:lang w:eastAsia="zh-CN"/>
              </w:rPr>
            </m:ctrlPr>
          </m:sub>
        </m:sSub>
      </m:oMath>
      <w:r>
        <w:rPr>
          <w:rFonts w:hint="eastAsia" w:hAnsi="Cambria Math"/>
          <w:i w:val="0"/>
          <w:color w:val="auto"/>
          <w:lang w:val="en-US" w:eastAsia="zh-CN"/>
        </w:rPr>
        <w:t xml:space="preserve">      （</w:t>
      </w:r>
      <w:r>
        <w:rPr>
          <w:rFonts w:hint="eastAsia"/>
          <w:b/>
          <w:bCs/>
          <w:color w:val="auto"/>
          <w:lang w:val="en-US" w:eastAsia="zh-CN"/>
        </w:rPr>
        <w:t>6. 3. 3-2）</w:t>
      </w:r>
    </w:p>
    <w:p w14:paraId="4E51CD53">
      <w:pPr>
        <w:pStyle w:val="29"/>
        <w:bidi w:val="0"/>
        <w:ind w:firstLine="560" w:firstLineChars="200"/>
        <w:rPr>
          <w:color w:val="auto"/>
          <w:lang w:eastAsia="zh-CN"/>
        </w:rPr>
      </w:pPr>
      <w:r>
        <w:rPr>
          <w:rFonts w:hint="eastAsia"/>
          <w:color w:val="auto"/>
          <w:lang w:eastAsia="zh-CN"/>
        </w:rPr>
        <w:t>式中：</w:t>
      </w:r>
    </w:p>
    <w:p w14:paraId="7F4E11EA">
      <w:pPr>
        <w:pStyle w:val="29"/>
        <w:bidi w:val="0"/>
        <w:ind w:firstLine="560" w:firstLineChars="200"/>
        <w:rPr>
          <w:color w:val="auto"/>
          <w:lang w:eastAsia="zh-CN"/>
        </w:rPr>
      </w:pPr>
      <w:r>
        <w:rPr>
          <w:color w:val="auto"/>
          <w:lang w:eastAsia="zh-CN"/>
        </w:rPr>
        <w:t>t——昼间环境下光伏组件的极限低温（℃）；</w:t>
      </w:r>
    </w:p>
    <w:p w14:paraId="5906ACDC">
      <w:pPr>
        <w:pStyle w:val="29"/>
        <w:bidi w:val="0"/>
        <w:ind w:firstLine="560" w:firstLineChars="200"/>
        <w:rPr>
          <w:color w:val="auto"/>
          <w:lang w:eastAsia="zh-CN"/>
        </w:rPr>
      </w:pPr>
      <w:r>
        <w:rPr>
          <w:color w:val="auto"/>
          <w:lang w:eastAsia="zh-CN"/>
        </w:rPr>
        <w:t>t</w:t>
      </w:r>
      <w:r>
        <w:rPr>
          <w:rFonts w:hint="eastAsia"/>
          <w:color w:val="auto"/>
          <w:lang w:eastAsia="zh-CN"/>
        </w:rPr>
        <w:t>amb</w:t>
      </w:r>
      <w:r>
        <w:rPr>
          <w:color w:val="auto"/>
          <w:lang w:eastAsia="zh-CN"/>
        </w:rPr>
        <w:t>——</w:t>
      </w:r>
      <w:r>
        <w:rPr>
          <w:rFonts w:hint="eastAsia"/>
          <w:color w:val="auto"/>
          <w:lang w:val="en-US" w:eastAsia="zh-CN"/>
        </w:rPr>
        <w:t>站</w:t>
      </w:r>
      <w:r>
        <w:rPr>
          <w:rFonts w:hint="eastAsia"/>
          <w:color w:val="auto"/>
          <w:lang w:eastAsia="zh-CN"/>
        </w:rPr>
        <w:t>址极端最低气温</w:t>
      </w:r>
      <w:r>
        <w:rPr>
          <w:color w:val="auto"/>
          <w:lang w:eastAsia="zh-CN"/>
        </w:rPr>
        <w:t>（℃）；</w:t>
      </w:r>
    </w:p>
    <w:p w14:paraId="46173509">
      <w:pPr>
        <w:pStyle w:val="29"/>
        <w:bidi w:val="0"/>
        <w:ind w:firstLine="560" w:firstLineChars="200"/>
        <w:rPr>
          <w:color w:val="auto"/>
          <w:lang w:eastAsia="zh-CN"/>
        </w:rPr>
      </w:pPr>
      <w:r>
        <w:rPr>
          <w:rFonts w:hint="eastAsia"/>
          <w:color w:val="auto"/>
          <w:lang w:eastAsia="zh-CN"/>
        </w:rPr>
        <w:t>Irad</w:t>
      </w:r>
      <w:r>
        <w:rPr>
          <w:color w:val="auto"/>
          <w:lang w:eastAsia="zh-CN"/>
        </w:rPr>
        <w:t>——</w:t>
      </w:r>
      <w:r>
        <w:rPr>
          <w:rFonts w:hint="eastAsia"/>
          <w:color w:val="auto"/>
          <w:lang w:eastAsia="zh-CN"/>
        </w:rPr>
        <w:t>太阳辐射强度</w:t>
      </w:r>
      <w:r>
        <w:rPr>
          <w:color w:val="auto"/>
          <w:lang w:eastAsia="zh-CN"/>
        </w:rPr>
        <w:t>（</w:t>
      </w:r>
      <w:r>
        <w:rPr>
          <w:rFonts w:hint="eastAsia"/>
          <w:color w:val="auto"/>
          <w:lang w:eastAsia="zh-CN"/>
        </w:rPr>
        <w:t>W/m</w:t>
      </w:r>
      <w:r>
        <w:rPr>
          <w:rFonts w:hint="eastAsia"/>
          <w:color w:val="auto"/>
          <w:vertAlign w:val="superscript"/>
          <w:lang w:eastAsia="zh-CN"/>
        </w:rPr>
        <w:t>2</w:t>
      </w:r>
      <w:r>
        <w:rPr>
          <w:color w:val="auto"/>
          <w:lang w:eastAsia="zh-CN"/>
        </w:rPr>
        <w:t>）</w:t>
      </w:r>
      <w:r>
        <w:rPr>
          <w:rFonts w:hint="eastAsia"/>
          <w:color w:val="auto"/>
          <w:lang w:eastAsia="zh-CN"/>
        </w:rPr>
        <w:t>。</w:t>
      </w:r>
    </w:p>
    <w:p w14:paraId="4657E932">
      <w:pPr>
        <w:pStyle w:val="29"/>
        <w:bidi w:val="0"/>
        <w:ind w:firstLine="562" w:firstLineChars="200"/>
        <w:rPr>
          <w:color w:val="auto"/>
          <w:lang w:eastAsia="zh-CN"/>
        </w:rPr>
      </w:pPr>
      <w:r>
        <w:rPr>
          <w:rFonts w:hint="eastAsia"/>
          <w:b/>
          <w:bCs/>
          <w:color w:val="auto"/>
          <w:lang w:eastAsia="zh-CN"/>
        </w:rPr>
        <w:t>3</w:t>
      </w:r>
      <w:r>
        <w:rPr>
          <w:rFonts w:hint="eastAsia"/>
          <w:color w:val="auto"/>
        </w:rPr>
        <w:t>　</w:t>
      </w:r>
      <w:r>
        <w:rPr>
          <w:rFonts w:hint="eastAsia"/>
          <w:color w:val="auto"/>
          <w:lang w:eastAsia="zh-CN"/>
        </w:rPr>
        <w:t>宜根据</w:t>
      </w:r>
      <w:r>
        <w:rPr>
          <w:rFonts w:hint="eastAsia"/>
          <w:color w:val="auto"/>
          <w:lang w:val="en-US" w:eastAsia="zh-CN"/>
        </w:rPr>
        <w:t>站</w:t>
      </w:r>
      <w:r>
        <w:rPr>
          <w:rFonts w:hint="eastAsia"/>
          <w:color w:val="auto"/>
          <w:lang w:eastAsia="zh-CN"/>
        </w:rPr>
        <w:t>址极端最高气温、辐射强</w:t>
      </w:r>
      <w:r>
        <w:rPr>
          <w:color w:val="auto"/>
          <w:lang w:eastAsia="zh-CN"/>
        </w:rPr>
        <w:t>度1000W/m</w:t>
      </w:r>
      <w:r>
        <w:rPr>
          <w:color w:val="auto"/>
          <w:vertAlign w:val="superscript"/>
          <w:lang w:eastAsia="zh-CN"/>
        </w:rPr>
        <w:t>2</w:t>
      </w:r>
      <w:r>
        <w:rPr>
          <w:rFonts w:hint="eastAsia"/>
          <w:color w:val="auto"/>
          <w:lang w:eastAsia="zh-CN"/>
        </w:rPr>
        <w:t>计算光伏组件</w:t>
      </w:r>
      <w:r>
        <w:rPr>
          <w:color w:val="auto"/>
          <w:lang w:eastAsia="zh-CN"/>
        </w:rPr>
        <w:t>工作状态下的电池极限高温</w:t>
      </w:r>
      <w:r>
        <w:rPr>
          <w:rFonts w:hint="eastAsia"/>
          <w:color w:val="auto"/>
          <w:lang w:eastAsia="zh-CN"/>
        </w:rPr>
        <w:t>。</w:t>
      </w:r>
    </w:p>
    <w:p w14:paraId="3DF6DEC0">
      <w:pPr>
        <w:pStyle w:val="31"/>
        <w:bidi w:val="0"/>
        <w:outlineLvl w:val="1"/>
        <w:rPr>
          <w:color w:val="auto"/>
          <w:lang w:eastAsia="zh-CN"/>
        </w:rPr>
      </w:pPr>
      <w:bookmarkStart w:id="59" w:name="_Toc6872"/>
      <w:bookmarkStart w:id="60" w:name="_Toc22068"/>
      <w:bookmarkStart w:id="61" w:name="_Toc23777"/>
      <w:r>
        <w:rPr>
          <w:rFonts w:hint="eastAsia"/>
          <w:b/>
          <w:bCs/>
          <w:color w:val="auto"/>
          <w:lang w:val="en-US" w:eastAsia="zh-CN"/>
        </w:rPr>
        <w:t>6</w:t>
      </w:r>
      <w:r>
        <w:rPr>
          <w:rFonts w:hint="eastAsia"/>
          <w:b/>
          <w:bCs/>
          <w:color w:val="auto"/>
          <w:lang w:eastAsia="zh-CN"/>
        </w:rPr>
        <w:t>.</w:t>
      </w:r>
      <w:r>
        <w:rPr>
          <w:rFonts w:hint="eastAsia"/>
          <w:b/>
          <w:bCs/>
          <w:color w:val="auto"/>
          <w:lang w:val="en-US" w:eastAsia="zh-CN"/>
        </w:rPr>
        <w:t xml:space="preserve"> 4</w:t>
      </w:r>
      <w:r>
        <w:rPr>
          <w:rFonts w:hint="eastAsia" w:ascii="宋体" w:hAnsi="宋体" w:cs="宋体"/>
          <w:bCs/>
          <w:color w:val="auto"/>
          <w:kern w:val="44"/>
          <w:szCs w:val="44"/>
        </w:rPr>
        <w:t>　</w:t>
      </w:r>
      <w:r>
        <w:rPr>
          <w:rFonts w:hint="eastAsia"/>
          <w:color w:val="auto"/>
          <w:lang w:eastAsia="zh-CN"/>
        </w:rPr>
        <w:t>储能系统</w:t>
      </w:r>
      <w:bookmarkEnd w:id="59"/>
      <w:bookmarkEnd w:id="60"/>
      <w:bookmarkEnd w:id="61"/>
    </w:p>
    <w:p w14:paraId="6BCCB052">
      <w:pPr>
        <w:pStyle w:val="29"/>
        <w:bidi w:val="0"/>
        <w:rPr>
          <w:color w:val="auto"/>
          <w:lang w:eastAsia="zh-CN"/>
        </w:rPr>
      </w:pPr>
      <w:r>
        <w:rPr>
          <w:rFonts w:hint="eastAsia"/>
          <w:b/>
          <w:bCs/>
          <w:color w:val="auto"/>
          <w:lang w:val="en-US" w:eastAsia="zh-CN"/>
        </w:rPr>
        <w:t>6. 4. 1</w:t>
      </w:r>
      <w:r>
        <w:rPr>
          <w:rFonts w:hint="eastAsia"/>
          <w:b/>
          <w:bCs/>
          <w:color w:val="auto"/>
        </w:rPr>
        <w:t>　</w:t>
      </w:r>
      <w:r>
        <w:rPr>
          <w:rFonts w:hint="eastAsia"/>
          <w:color w:val="auto"/>
          <w:lang w:eastAsia="zh-CN"/>
        </w:rPr>
        <w:t>山地光伏电站储能系统接入电网应符合现行国家标准《电化学储能电站接入电网技术规定》GB/T 36547的要求。</w:t>
      </w:r>
    </w:p>
    <w:p w14:paraId="3F7F4962">
      <w:pPr>
        <w:pStyle w:val="29"/>
        <w:bidi w:val="0"/>
        <w:rPr>
          <w:color w:val="auto"/>
          <w:lang w:eastAsia="zh-CN"/>
        </w:rPr>
      </w:pPr>
      <w:r>
        <w:rPr>
          <w:rFonts w:hint="eastAsia"/>
          <w:b/>
          <w:bCs/>
          <w:color w:val="auto"/>
          <w:lang w:val="en-US" w:eastAsia="zh-CN"/>
        </w:rPr>
        <w:t>6. 4. 2</w:t>
      </w:r>
      <w:r>
        <w:rPr>
          <w:rFonts w:hint="eastAsia"/>
          <w:b/>
          <w:bCs/>
          <w:color w:val="auto"/>
        </w:rPr>
        <w:t>　</w:t>
      </w:r>
      <w:r>
        <w:rPr>
          <w:rFonts w:hint="eastAsia"/>
          <w:color w:val="auto"/>
          <w:lang w:eastAsia="zh-CN"/>
        </w:rPr>
        <w:t>山地光伏电站预制舱式储能系统的电气安全距离应符合现行国家标准《预制舱式锂离子电池储能系统技术规范》GB/T 44026的要求，对于海拔2000m及以上地区使用的系统，所有电气间隙应依据海拔修正因子进行修正。</w:t>
      </w:r>
    </w:p>
    <w:p w14:paraId="3A94209F">
      <w:pPr>
        <w:pStyle w:val="31"/>
        <w:bidi w:val="0"/>
        <w:outlineLvl w:val="1"/>
        <w:rPr>
          <w:color w:val="auto"/>
          <w:lang w:eastAsia="zh-CN"/>
        </w:rPr>
      </w:pPr>
      <w:bookmarkStart w:id="62" w:name="bookmark154"/>
      <w:bookmarkEnd w:id="62"/>
      <w:bookmarkStart w:id="63" w:name="_Toc31416"/>
      <w:bookmarkStart w:id="64" w:name="_Toc2281"/>
      <w:bookmarkStart w:id="65" w:name="_Toc29606"/>
      <w:bookmarkStart w:id="66" w:name="_Toc13003"/>
      <w:r>
        <w:rPr>
          <w:rFonts w:hint="eastAsia"/>
          <w:b/>
          <w:bCs/>
          <w:color w:val="auto"/>
          <w:lang w:val="en-US" w:eastAsia="zh-CN"/>
        </w:rPr>
        <w:t>6</w:t>
      </w:r>
      <w:r>
        <w:rPr>
          <w:rFonts w:hint="eastAsia"/>
          <w:b/>
          <w:bCs/>
          <w:color w:val="auto"/>
          <w:lang w:eastAsia="zh-CN"/>
        </w:rPr>
        <w:t>.</w:t>
      </w:r>
      <w:r>
        <w:rPr>
          <w:rFonts w:hint="eastAsia"/>
          <w:b/>
          <w:bCs/>
          <w:color w:val="auto"/>
          <w:lang w:val="en-US" w:eastAsia="zh-CN"/>
        </w:rPr>
        <w:t xml:space="preserve"> 5</w:t>
      </w:r>
      <w:r>
        <w:rPr>
          <w:rFonts w:hint="eastAsia" w:ascii="宋体" w:hAnsi="宋体" w:cs="宋体"/>
          <w:bCs/>
          <w:color w:val="auto"/>
          <w:kern w:val="44"/>
          <w:szCs w:val="44"/>
        </w:rPr>
        <w:t>　</w:t>
      </w:r>
      <w:r>
        <w:rPr>
          <w:rFonts w:hint="eastAsia"/>
          <w:color w:val="auto"/>
          <w:lang w:eastAsia="zh-CN"/>
        </w:rPr>
        <w:t>发电量计算</w:t>
      </w:r>
      <w:bookmarkEnd w:id="63"/>
      <w:bookmarkEnd w:id="64"/>
      <w:bookmarkEnd w:id="65"/>
      <w:bookmarkEnd w:id="66"/>
    </w:p>
    <w:p w14:paraId="4EC0F405">
      <w:pPr>
        <w:pStyle w:val="29"/>
        <w:bidi w:val="0"/>
        <w:outlineLvl w:val="9"/>
        <w:rPr>
          <w:color w:val="auto"/>
          <w:lang w:eastAsia="zh-CN"/>
        </w:rPr>
      </w:pPr>
      <w:r>
        <w:rPr>
          <w:rFonts w:hint="eastAsia"/>
          <w:b/>
          <w:bCs/>
          <w:color w:val="auto"/>
          <w:lang w:val="en-US" w:eastAsia="zh-CN"/>
        </w:rPr>
        <w:t>6. 5. 1</w:t>
      </w:r>
      <w:r>
        <w:rPr>
          <w:rFonts w:hint="eastAsia"/>
          <w:color w:val="auto"/>
        </w:rPr>
        <w:t>　</w:t>
      </w:r>
      <w:r>
        <w:rPr>
          <w:rFonts w:hint="eastAsia"/>
          <w:color w:val="auto"/>
          <w:lang w:eastAsia="zh-CN"/>
        </w:rPr>
        <w:t>山地光伏电站上网电量宜按下式计算：</w:t>
      </w:r>
    </w:p>
    <w:p w14:paraId="4C40D397">
      <w:pPr>
        <w:pStyle w:val="29"/>
        <w:bidi w:val="0"/>
        <w:ind w:left="0" w:leftChars="0" w:right="0" w:rightChars="0" w:firstLine="0" w:firstLineChars="0"/>
        <w:jc w:val="center"/>
        <w:rPr>
          <w:rFonts w:hint="eastAsia" w:eastAsia="宋体"/>
          <w:color w:val="auto"/>
          <w:lang w:eastAsia="zh-CN"/>
        </w:rPr>
      </w:pPr>
      <m:oMath>
        <m:sSub>
          <m:sSubPr>
            <m:ctrlPr>
              <w:rPr>
                <w:rFonts w:hint="eastAsia" w:ascii="Cambria Math" w:hAnsi="Cambria Math"/>
                <w:color w:val="auto"/>
              </w:rPr>
            </m:ctrlPr>
          </m:sSubPr>
          <m:e>
            <m:r>
              <m:rPr>
                <m:sty m:val="p"/>
              </m:rPr>
              <w:rPr>
                <w:rFonts w:hint="eastAsia" w:ascii="Cambria Math" w:hAnsi="Cambria Math"/>
                <w:color w:val="auto"/>
              </w:rPr>
              <m:t>E</m:t>
            </m:r>
            <m:ctrlPr>
              <w:rPr>
                <w:rFonts w:hint="eastAsia" w:ascii="Cambria Math" w:hAnsi="Cambria Math"/>
                <w:color w:val="auto"/>
              </w:rPr>
            </m:ctrlPr>
          </m:e>
          <m:sub>
            <m:r>
              <m:rPr>
                <m:sty m:val="p"/>
              </m:rPr>
              <w:rPr>
                <w:rFonts w:hint="eastAsia" w:ascii="Cambria Math" w:hAnsi="Cambria Math"/>
                <w:color w:val="auto"/>
              </w:rPr>
              <m:t>p</m:t>
            </m:r>
            <m:ctrlPr>
              <w:rPr>
                <w:rFonts w:hint="eastAsia" w:ascii="Cambria Math" w:hAnsi="Cambria Math"/>
                <w:color w:val="auto"/>
              </w:rPr>
            </m:ctrlPr>
          </m:sub>
        </m:sSub>
        <m:r>
          <m:rPr>
            <m:sty m:val="p"/>
          </m:rPr>
          <w:rPr>
            <w:rFonts w:ascii="Cambria Math" w:hAnsi="Cambria Math"/>
            <w:color w:val="auto"/>
            <w:lang w:eastAsia="zh-CN"/>
          </w:rPr>
          <m:t>=</m:t>
        </m:r>
        <m:r>
          <m:rPr>
            <m:sty m:val="p"/>
          </m:rPr>
          <w:rPr>
            <w:rFonts w:hint="eastAsia" w:ascii="Cambria Math" w:hAnsi="Cambria Math"/>
            <w:color w:val="auto"/>
          </w:rPr>
          <m:t>PR</m:t>
        </m:r>
        <m:sSub>
          <m:sSubPr>
            <m:ctrlPr>
              <w:rPr>
                <w:rFonts w:hint="eastAsia" w:ascii="Cambria Math" w:hAnsi="Cambria Math"/>
                <w:color w:val="auto"/>
              </w:rPr>
            </m:ctrlPr>
          </m:sSubPr>
          <m:e>
            <m:r>
              <m:rPr>
                <m:sty m:val="p"/>
              </m:rPr>
              <w:rPr>
                <w:rFonts w:hint="eastAsia" w:ascii="Cambria Math" w:hAnsi="Cambria Math"/>
                <w:color w:val="auto"/>
                <w:lang w:eastAsia="zh-CN"/>
              </w:rPr>
              <m:t>×</m:t>
            </m:r>
            <m:r>
              <m:rPr>
                <m:sty m:val="p"/>
              </m:rPr>
              <w:rPr>
                <w:rFonts w:hint="eastAsia" w:ascii="Cambria Math" w:hAnsi="Cambria Math"/>
                <w:color w:val="auto"/>
              </w:rPr>
              <m:t>G</m:t>
            </m:r>
            <m:ctrlPr>
              <w:rPr>
                <w:rFonts w:hint="eastAsia" w:ascii="Cambria Math" w:hAnsi="Cambria Math"/>
                <w:color w:val="auto"/>
              </w:rPr>
            </m:ctrlPr>
          </m:e>
          <m:sub>
            <m:r>
              <m:rPr>
                <m:sty m:val="p"/>
              </m:rPr>
              <w:rPr>
                <w:rFonts w:hint="eastAsia" w:ascii="Cambria Math" w:hAnsi="Cambria Math"/>
                <w:color w:val="auto"/>
              </w:rPr>
              <m:t>A</m:t>
            </m:r>
            <m:ctrlPr>
              <w:rPr>
                <w:rFonts w:hint="eastAsia" w:ascii="Cambria Math" w:hAnsi="Cambria Math"/>
                <w:color w:val="auto"/>
              </w:rPr>
            </m:ctrlPr>
          </m:sub>
        </m:sSub>
        <m:r>
          <m:rPr>
            <m:sty m:val="p"/>
          </m:rPr>
          <w:rPr>
            <w:rFonts w:hint="eastAsia" w:ascii="Cambria Math" w:hAnsi="Cambria Math"/>
            <w:color w:val="auto"/>
          </w:rPr>
          <m:t>×</m:t>
        </m:r>
        <m:f>
          <m:fPr>
            <m:ctrlPr>
              <w:rPr>
                <w:rFonts w:hint="eastAsia" w:ascii="Cambria Math" w:hAnsi="Cambria Math"/>
                <w:color w:val="auto"/>
              </w:rPr>
            </m:ctrlPr>
          </m:fPr>
          <m:num>
            <m:sSub>
              <m:sSubPr>
                <m:ctrlPr>
                  <w:rPr>
                    <w:rFonts w:hint="eastAsia" w:ascii="Cambria Math" w:hAnsi="Cambria Math"/>
                    <w:color w:val="auto"/>
                  </w:rPr>
                </m:ctrlPr>
              </m:sSubPr>
              <m:e>
                <m:r>
                  <m:rPr>
                    <m:sty m:val="p"/>
                  </m:rPr>
                  <w:rPr>
                    <w:rFonts w:hint="eastAsia" w:ascii="Cambria Math" w:hAnsi="Cambria Math"/>
                    <w:color w:val="auto"/>
                  </w:rPr>
                  <m:t>P</m:t>
                </m:r>
                <m:ctrlPr>
                  <w:rPr>
                    <w:rFonts w:hint="eastAsia" w:ascii="Cambria Math" w:hAnsi="Cambria Math"/>
                    <w:color w:val="auto"/>
                  </w:rPr>
                </m:ctrlPr>
              </m:e>
              <m:sub>
                <m:r>
                  <m:rPr>
                    <m:sty m:val="p"/>
                  </m:rPr>
                  <w:rPr>
                    <w:rFonts w:hint="eastAsia" w:ascii="Cambria Math" w:hAnsi="Cambria Math"/>
                    <w:color w:val="auto"/>
                  </w:rPr>
                  <m:t>AZ</m:t>
                </m:r>
                <m:ctrlPr>
                  <w:rPr>
                    <w:rFonts w:hint="eastAsia" w:ascii="Cambria Math" w:hAnsi="Cambria Math"/>
                    <w:color w:val="auto"/>
                  </w:rPr>
                </m:ctrlPr>
              </m:sub>
            </m:sSub>
            <m:ctrlPr>
              <w:rPr>
                <w:rFonts w:hint="eastAsia" w:ascii="Cambria Math" w:hAnsi="Cambria Math"/>
                <w:color w:val="auto"/>
              </w:rPr>
            </m:ctrlPr>
          </m:num>
          <m:den>
            <m:sSub>
              <m:sSubPr>
                <m:ctrlPr>
                  <w:rPr>
                    <w:rFonts w:hint="eastAsia" w:ascii="Cambria Math" w:hAnsi="Cambria Math"/>
                    <w:color w:val="auto"/>
                  </w:rPr>
                </m:ctrlPr>
              </m:sSubPr>
              <m:e>
                <m:r>
                  <m:rPr>
                    <m:sty m:val="p"/>
                  </m:rPr>
                  <w:rPr>
                    <w:rFonts w:hint="eastAsia" w:ascii="Cambria Math" w:hAnsi="Cambria Math"/>
                    <w:color w:val="auto"/>
                  </w:rPr>
                  <m:t>E</m:t>
                </m:r>
                <m:ctrlPr>
                  <w:rPr>
                    <w:rFonts w:hint="eastAsia" w:ascii="Cambria Math" w:hAnsi="Cambria Math"/>
                    <w:color w:val="auto"/>
                  </w:rPr>
                </m:ctrlPr>
              </m:e>
              <m:sub>
                <m:r>
                  <m:rPr>
                    <m:sty m:val="p"/>
                  </m:rPr>
                  <w:rPr>
                    <w:rFonts w:hint="eastAsia" w:ascii="Cambria Math" w:hAnsi="Cambria Math"/>
                    <w:color w:val="auto"/>
                  </w:rPr>
                  <m:t>S</m:t>
                </m:r>
                <m:ctrlPr>
                  <w:rPr>
                    <w:rFonts w:hint="eastAsia" w:ascii="Cambria Math" w:hAnsi="Cambria Math"/>
                    <w:color w:val="auto"/>
                  </w:rPr>
                </m:ctrlPr>
              </m:sub>
            </m:sSub>
            <m:ctrlPr>
              <w:rPr>
                <w:rFonts w:hint="eastAsia" w:ascii="Cambria Math" w:hAnsi="Cambria Math"/>
                <w:color w:val="auto"/>
              </w:rPr>
            </m:ctrlPr>
          </m:den>
        </m:f>
      </m:oMath>
      <w:r>
        <w:rPr>
          <w:rFonts w:hint="eastAsia" w:hAnsi="Cambria Math"/>
          <w:i w:val="0"/>
          <w:color w:val="auto"/>
          <w:lang w:val="en-US" w:eastAsia="zh-CN"/>
        </w:rPr>
        <w:t xml:space="preserve">    </w:t>
      </w:r>
      <w:r>
        <w:rPr>
          <w:rFonts w:hint="eastAsia" w:hAnsi="Cambria Math"/>
          <w:i w:val="0"/>
          <w:color w:val="auto"/>
          <w:lang w:eastAsia="zh-CN"/>
        </w:rPr>
        <w:t>（</w:t>
      </w:r>
      <w:r>
        <w:rPr>
          <w:rFonts w:hint="eastAsia" w:hAnsi="Cambria Math"/>
          <w:b/>
          <w:bCs/>
          <w:i w:val="0"/>
          <w:color w:val="auto"/>
          <w:lang w:val="en-US" w:eastAsia="zh-CN"/>
        </w:rPr>
        <w:t>6. 5. 1</w:t>
      </w:r>
      <w:r>
        <w:rPr>
          <w:rFonts w:hint="eastAsia" w:hAnsi="Cambria Math"/>
          <w:i w:val="0"/>
          <w:color w:val="auto"/>
          <w:lang w:eastAsia="zh-CN"/>
        </w:rPr>
        <w:t>）</w:t>
      </w:r>
    </w:p>
    <w:p w14:paraId="3F940C92">
      <w:pPr>
        <w:pStyle w:val="29"/>
        <w:bidi w:val="0"/>
        <w:ind w:firstLine="560" w:firstLineChars="200"/>
        <w:rPr>
          <w:color w:val="auto"/>
          <w:lang w:eastAsia="zh-CN"/>
        </w:rPr>
      </w:pPr>
      <w:r>
        <w:rPr>
          <w:rFonts w:hint="eastAsia"/>
          <w:color w:val="auto"/>
          <w:lang w:eastAsia="zh-CN"/>
        </w:rPr>
        <w:t>式中：</w:t>
      </w:r>
    </w:p>
    <w:p w14:paraId="0745305F">
      <w:pPr>
        <w:pStyle w:val="29"/>
        <w:bidi w:val="0"/>
        <w:ind w:firstLine="560" w:firstLineChars="200"/>
        <w:rPr>
          <w:color w:val="auto"/>
          <w:lang w:eastAsia="zh-CN"/>
        </w:rPr>
      </w:pPr>
      <w:r>
        <w:rPr>
          <w:rFonts w:hint="eastAsia"/>
          <w:color w:val="auto"/>
          <w:lang w:eastAsia="zh-CN"/>
        </w:rPr>
        <w:t>PR——光伏发电系统效率（%）；</w:t>
      </w:r>
    </w:p>
    <w:p w14:paraId="3F5C732A">
      <w:pPr>
        <w:pStyle w:val="29"/>
        <w:bidi w:val="0"/>
        <w:ind w:firstLine="560" w:firstLineChars="200"/>
        <w:rPr>
          <w:color w:val="auto"/>
          <w:lang w:eastAsia="zh-CN"/>
        </w:rPr>
      </w:pPr>
      <w:r>
        <w:rPr>
          <w:rFonts w:hint="eastAsia"/>
          <w:color w:val="auto"/>
          <w:lang w:eastAsia="zh-CN"/>
        </w:rPr>
        <w:t>GA——光伏阵列面太阳总辐照量（kW</w:t>
      </w:r>
      <w:r>
        <w:rPr>
          <w:color w:val="auto"/>
          <w:lang w:eastAsia="zh-CN"/>
        </w:rPr>
        <w:t>·</w:t>
      </w:r>
      <w:r>
        <w:rPr>
          <w:rFonts w:hint="eastAsia"/>
          <w:color w:val="auto"/>
          <w:lang w:eastAsia="zh-CN"/>
        </w:rPr>
        <w:t>h/m</w:t>
      </w:r>
      <w:r>
        <w:rPr>
          <w:rFonts w:hint="eastAsia"/>
          <w:color w:val="auto"/>
          <w:vertAlign w:val="superscript"/>
          <w:lang w:eastAsia="zh-CN"/>
        </w:rPr>
        <w:t>2</w:t>
      </w:r>
      <w:r>
        <w:rPr>
          <w:rFonts w:hint="eastAsia"/>
          <w:color w:val="auto"/>
          <w:lang w:eastAsia="zh-CN"/>
        </w:rPr>
        <w:t>）；</w:t>
      </w:r>
    </w:p>
    <w:p w14:paraId="30D98216">
      <w:pPr>
        <w:pStyle w:val="29"/>
        <w:bidi w:val="0"/>
        <w:ind w:firstLine="560" w:firstLineChars="200"/>
        <w:rPr>
          <w:color w:val="auto"/>
          <w:lang w:eastAsia="zh-CN"/>
        </w:rPr>
      </w:pPr>
      <w:r>
        <w:rPr>
          <w:rFonts w:hint="eastAsia"/>
          <w:color w:val="auto"/>
          <w:lang w:eastAsia="zh-CN"/>
        </w:rPr>
        <w:t>Es——标准条件下的辐照度（常数=1kW/m</w:t>
      </w:r>
      <w:r>
        <w:rPr>
          <w:rFonts w:hint="eastAsia"/>
          <w:color w:val="auto"/>
          <w:vertAlign w:val="superscript"/>
          <w:lang w:eastAsia="zh-CN"/>
        </w:rPr>
        <w:t>2</w:t>
      </w:r>
      <w:r>
        <w:rPr>
          <w:rFonts w:hint="eastAsia"/>
          <w:color w:val="auto"/>
          <w:lang w:eastAsia="zh-CN"/>
        </w:rPr>
        <w:t>）；</w:t>
      </w:r>
    </w:p>
    <w:p w14:paraId="3DE5C89E">
      <w:pPr>
        <w:pStyle w:val="29"/>
        <w:bidi w:val="0"/>
        <w:ind w:firstLine="560" w:firstLineChars="200"/>
        <w:rPr>
          <w:color w:val="auto"/>
          <w:lang w:eastAsia="zh-CN"/>
        </w:rPr>
      </w:pPr>
      <w:r>
        <w:rPr>
          <w:rFonts w:hint="eastAsia"/>
          <w:color w:val="auto"/>
          <w:lang w:eastAsia="zh-CN"/>
        </w:rPr>
        <w:t>PAZ——组件的安装容量（kWp）。</w:t>
      </w:r>
    </w:p>
    <w:p w14:paraId="67C3780A">
      <w:pPr>
        <w:pStyle w:val="29"/>
        <w:bidi w:val="0"/>
        <w:outlineLvl w:val="9"/>
        <w:rPr>
          <w:color w:val="auto"/>
          <w:lang w:eastAsia="zh-CN"/>
        </w:rPr>
      </w:pPr>
      <w:r>
        <w:rPr>
          <w:rFonts w:hint="eastAsia"/>
          <w:b/>
          <w:bCs/>
          <w:color w:val="auto"/>
          <w:lang w:val="en-US" w:eastAsia="zh-CN"/>
        </w:rPr>
        <w:t>6. 5. 2</w:t>
      </w:r>
      <w:r>
        <w:rPr>
          <w:rFonts w:hint="eastAsia"/>
          <w:color w:val="auto"/>
        </w:rPr>
        <w:t>　</w:t>
      </w:r>
      <w:r>
        <w:rPr>
          <w:rFonts w:hint="eastAsia"/>
          <w:color w:val="auto"/>
          <w:lang w:eastAsia="zh-CN"/>
        </w:rPr>
        <w:t>山地光伏电站系统效率（PR）宜考虑以下修正系数：</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754"/>
        <w:gridCol w:w="6394"/>
      </w:tblGrid>
      <w:tr w14:paraId="378A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tcBorders>
              <w:tl2br w:val="nil"/>
              <w:tr2bl w:val="nil"/>
            </w:tcBorders>
            <w:shd w:val="clear" w:color="auto" w:fill="auto"/>
            <w:noWrap/>
            <w:vAlign w:val="center"/>
          </w:tcPr>
          <w:p w14:paraId="599DBE60">
            <w:pPr>
              <w:pStyle w:val="26"/>
              <w:pageBreakBefore w:val="0"/>
              <w:widowControl w:val="0"/>
              <w:topLinePunct w:val="0"/>
              <w:bidi w:val="0"/>
              <w:ind w:left="0" w:leftChars="0" w:right="0" w:rightChars="0" w:firstLine="0" w:firstLineChars="0"/>
              <w:jc w:val="center"/>
              <w:rPr>
                <w:b w:val="0"/>
                <w:bCs w:val="0"/>
                <w:color w:val="auto"/>
                <w:sz w:val="24"/>
                <w:szCs w:val="24"/>
                <w:highlight w:val="none"/>
              </w:rPr>
            </w:pPr>
            <w:r>
              <w:rPr>
                <w:rFonts w:hint="eastAsia"/>
                <w:b w:val="0"/>
                <w:bCs w:val="0"/>
                <w:color w:val="auto"/>
                <w:sz w:val="24"/>
                <w:szCs w:val="24"/>
                <w:highlight w:val="none"/>
              </w:rPr>
              <w:t>系统效率分类</w:t>
            </w:r>
          </w:p>
        </w:tc>
        <w:tc>
          <w:tcPr>
            <w:tcW w:w="416" w:type="pct"/>
            <w:tcBorders>
              <w:tl2br w:val="nil"/>
              <w:tr2bl w:val="nil"/>
            </w:tcBorders>
            <w:shd w:val="clear" w:color="auto" w:fill="auto"/>
            <w:noWrap/>
            <w:vAlign w:val="center"/>
          </w:tcPr>
          <w:p w14:paraId="1BF8F8AE">
            <w:pPr>
              <w:pStyle w:val="26"/>
              <w:pageBreakBefore w:val="0"/>
              <w:widowControl w:val="0"/>
              <w:topLinePunct w:val="0"/>
              <w:bidi w:val="0"/>
              <w:ind w:left="0" w:leftChars="0" w:right="0" w:rightChars="0" w:firstLine="0" w:firstLineChars="0"/>
              <w:jc w:val="center"/>
              <w:rPr>
                <w:b w:val="0"/>
                <w:bCs w:val="0"/>
                <w:color w:val="auto"/>
                <w:sz w:val="24"/>
                <w:szCs w:val="24"/>
                <w:highlight w:val="none"/>
              </w:rPr>
            </w:pPr>
            <w:r>
              <w:rPr>
                <w:rFonts w:hint="eastAsia"/>
                <w:b w:val="0"/>
                <w:bCs w:val="0"/>
                <w:color w:val="auto"/>
                <w:sz w:val="24"/>
                <w:szCs w:val="24"/>
                <w:highlight w:val="none"/>
              </w:rPr>
              <w:t>序号</w:t>
            </w:r>
          </w:p>
        </w:tc>
        <w:tc>
          <w:tcPr>
            <w:tcW w:w="3528" w:type="pct"/>
            <w:tcBorders>
              <w:tl2br w:val="nil"/>
              <w:tr2bl w:val="nil"/>
            </w:tcBorders>
            <w:shd w:val="clear" w:color="auto" w:fill="auto"/>
            <w:noWrap/>
            <w:vAlign w:val="center"/>
          </w:tcPr>
          <w:p w14:paraId="2631C667">
            <w:pPr>
              <w:pStyle w:val="26"/>
              <w:pageBreakBefore w:val="0"/>
              <w:widowControl w:val="0"/>
              <w:topLinePunct w:val="0"/>
              <w:bidi w:val="0"/>
              <w:ind w:left="0" w:leftChars="0" w:right="0" w:rightChars="0" w:firstLine="0" w:firstLineChars="0"/>
              <w:jc w:val="center"/>
              <w:rPr>
                <w:b w:val="0"/>
                <w:bCs w:val="0"/>
                <w:color w:val="auto"/>
                <w:sz w:val="24"/>
                <w:szCs w:val="24"/>
                <w:highlight w:val="none"/>
              </w:rPr>
            </w:pPr>
            <w:r>
              <w:rPr>
                <w:rFonts w:hint="eastAsia"/>
                <w:b w:val="0"/>
                <w:bCs w:val="0"/>
                <w:color w:val="auto"/>
                <w:sz w:val="24"/>
                <w:szCs w:val="24"/>
                <w:highlight w:val="none"/>
              </w:rPr>
              <w:t>修正系数</w:t>
            </w:r>
          </w:p>
        </w:tc>
      </w:tr>
      <w:tr w14:paraId="5349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restart"/>
            <w:tcBorders>
              <w:tl2br w:val="nil"/>
              <w:tr2bl w:val="nil"/>
            </w:tcBorders>
            <w:shd w:val="clear" w:color="auto" w:fill="auto"/>
            <w:noWrap/>
            <w:vAlign w:val="center"/>
          </w:tcPr>
          <w:p w14:paraId="37BAD3EF">
            <w:pPr>
              <w:pStyle w:val="26"/>
              <w:pageBreakBefore w:val="0"/>
              <w:widowControl w:val="0"/>
              <w:topLinePunct w:val="0"/>
              <w:bidi w:val="0"/>
              <w:rPr>
                <w:color w:val="auto"/>
                <w:sz w:val="24"/>
                <w:szCs w:val="24"/>
                <w:highlight w:val="none"/>
              </w:rPr>
            </w:pPr>
            <w:r>
              <w:rPr>
                <w:rFonts w:hint="eastAsia"/>
                <w:color w:val="auto"/>
                <w:sz w:val="24"/>
                <w:szCs w:val="24"/>
                <w:highlight w:val="none"/>
              </w:rPr>
              <w:t>光伏阵列效率η</w:t>
            </w:r>
            <w:r>
              <w:rPr>
                <w:rFonts w:hint="eastAsia"/>
                <w:color w:val="auto"/>
                <w:sz w:val="24"/>
                <w:szCs w:val="24"/>
                <w:highlight w:val="none"/>
                <w:vertAlign w:val="subscript"/>
              </w:rPr>
              <w:t>1</w:t>
            </w:r>
          </w:p>
        </w:tc>
        <w:tc>
          <w:tcPr>
            <w:tcW w:w="416" w:type="pct"/>
            <w:tcBorders>
              <w:tl2br w:val="nil"/>
              <w:tr2bl w:val="nil"/>
            </w:tcBorders>
            <w:shd w:val="clear" w:color="auto" w:fill="auto"/>
            <w:noWrap/>
            <w:vAlign w:val="bottom"/>
          </w:tcPr>
          <w:p w14:paraId="322D6E22">
            <w:pPr>
              <w:pStyle w:val="26"/>
              <w:pageBreakBefore w:val="0"/>
              <w:widowControl w:val="0"/>
              <w:topLinePunct w:val="0"/>
              <w:bidi w:val="0"/>
              <w:rPr>
                <w:color w:val="auto"/>
                <w:sz w:val="24"/>
                <w:szCs w:val="24"/>
                <w:highlight w:val="none"/>
              </w:rPr>
            </w:pPr>
            <w:r>
              <w:rPr>
                <w:rFonts w:hint="eastAsia"/>
                <w:color w:val="auto"/>
                <w:sz w:val="24"/>
                <w:szCs w:val="24"/>
                <w:highlight w:val="none"/>
              </w:rPr>
              <w:t>1</w:t>
            </w:r>
          </w:p>
        </w:tc>
        <w:tc>
          <w:tcPr>
            <w:tcW w:w="3528" w:type="pct"/>
            <w:tcBorders>
              <w:tl2br w:val="nil"/>
              <w:tr2bl w:val="nil"/>
            </w:tcBorders>
            <w:shd w:val="clear" w:color="auto" w:fill="auto"/>
            <w:noWrap/>
            <w:vAlign w:val="bottom"/>
          </w:tcPr>
          <w:p w14:paraId="6ADCE404">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远景遮挡损失修正系数</w:t>
            </w:r>
          </w:p>
        </w:tc>
      </w:tr>
      <w:tr w14:paraId="1EE5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2E9B0CD4">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233A0695">
            <w:pPr>
              <w:pStyle w:val="26"/>
              <w:pageBreakBefore w:val="0"/>
              <w:widowControl w:val="0"/>
              <w:topLinePunct w:val="0"/>
              <w:bidi w:val="0"/>
              <w:rPr>
                <w:color w:val="auto"/>
                <w:sz w:val="24"/>
                <w:szCs w:val="24"/>
                <w:highlight w:val="none"/>
              </w:rPr>
            </w:pPr>
            <w:r>
              <w:rPr>
                <w:rFonts w:hint="eastAsia"/>
                <w:color w:val="auto"/>
                <w:sz w:val="24"/>
                <w:szCs w:val="24"/>
                <w:highlight w:val="none"/>
              </w:rPr>
              <w:t>2</w:t>
            </w:r>
          </w:p>
        </w:tc>
        <w:tc>
          <w:tcPr>
            <w:tcW w:w="3528" w:type="pct"/>
            <w:tcBorders>
              <w:tl2br w:val="nil"/>
              <w:tr2bl w:val="nil"/>
            </w:tcBorders>
            <w:shd w:val="clear" w:color="auto" w:fill="auto"/>
            <w:noWrap/>
            <w:vAlign w:val="bottom"/>
          </w:tcPr>
          <w:p w14:paraId="2C48F586">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近阴影遮挡损失修正系数</w:t>
            </w:r>
          </w:p>
        </w:tc>
      </w:tr>
      <w:tr w14:paraId="1EF3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4B72CF52">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F157FCE">
            <w:pPr>
              <w:pStyle w:val="26"/>
              <w:pageBreakBefore w:val="0"/>
              <w:widowControl w:val="0"/>
              <w:topLinePunct w:val="0"/>
              <w:bidi w:val="0"/>
              <w:rPr>
                <w:color w:val="auto"/>
                <w:sz w:val="24"/>
                <w:szCs w:val="24"/>
                <w:highlight w:val="none"/>
              </w:rPr>
            </w:pPr>
            <w:r>
              <w:rPr>
                <w:rFonts w:hint="eastAsia"/>
                <w:color w:val="auto"/>
                <w:sz w:val="24"/>
                <w:szCs w:val="24"/>
                <w:highlight w:val="none"/>
              </w:rPr>
              <w:t>3</w:t>
            </w:r>
          </w:p>
        </w:tc>
        <w:tc>
          <w:tcPr>
            <w:tcW w:w="3528" w:type="pct"/>
            <w:tcBorders>
              <w:tl2br w:val="nil"/>
              <w:tr2bl w:val="nil"/>
            </w:tcBorders>
            <w:shd w:val="clear" w:color="auto" w:fill="auto"/>
            <w:noWrap/>
            <w:vAlign w:val="bottom"/>
          </w:tcPr>
          <w:p w14:paraId="026962A9">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入射角损失修正系数（宜采用菲涅尔减反射涂层模型）</w:t>
            </w:r>
          </w:p>
        </w:tc>
      </w:tr>
      <w:tr w14:paraId="20D9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21540660">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323DAF37">
            <w:pPr>
              <w:pStyle w:val="26"/>
              <w:pageBreakBefore w:val="0"/>
              <w:widowControl w:val="0"/>
              <w:topLinePunct w:val="0"/>
              <w:bidi w:val="0"/>
              <w:rPr>
                <w:color w:val="auto"/>
                <w:sz w:val="24"/>
                <w:szCs w:val="24"/>
                <w:highlight w:val="none"/>
              </w:rPr>
            </w:pPr>
            <w:r>
              <w:rPr>
                <w:rFonts w:hint="eastAsia"/>
                <w:color w:val="auto"/>
                <w:sz w:val="24"/>
                <w:szCs w:val="24"/>
                <w:highlight w:val="none"/>
              </w:rPr>
              <w:t>4</w:t>
            </w:r>
          </w:p>
        </w:tc>
        <w:tc>
          <w:tcPr>
            <w:tcW w:w="3528" w:type="pct"/>
            <w:tcBorders>
              <w:tl2br w:val="nil"/>
              <w:tr2bl w:val="nil"/>
            </w:tcBorders>
            <w:shd w:val="clear" w:color="auto" w:fill="auto"/>
            <w:noWrap/>
            <w:vAlign w:val="bottom"/>
          </w:tcPr>
          <w:p w14:paraId="69502666">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污秽损失修正系数</w:t>
            </w:r>
          </w:p>
        </w:tc>
      </w:tr>
      <w:tr w14:paraId="5DB0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3A64C778">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C928F7F">
            <w:pPr>
              <w:pStyle w:val="26"/>
              <w:pageBreakBefore w:val="0"/>
              <w:widowControl w:val="0"/>
              <w:topLinePunct w:val="0"/>
              <w:bidi w:val="0"/>
              <w:rPr>
                <w:color w:val="auto"/>
                <w:sz w:val="24"/>
                <w:szCs w:val="24"/>
                <w:highlight w:val="none"/>
              </w:rPr>
            </w:pPr>
            <w:r>
              <w:rPr>
                <w:rFonts w:hint="eastAsia"/>
                <w:color w:val="auto"/>
                <w:sz w:val="24"/>
                <w:szCs w:val="24"/>
                <w:highlight w:val="none"/>
              </w:rPr>
              <w:t>5</w:t>
            </w:r>
          </w:p>
        </w:tc>
        <w:tc>
          <w:tcPr>
            <w:tcW w:w="3528" w:type="pct"/>
            <w:tcBorders>
              <w:tl2br w:val="nil"/>
              <w:tr2bl w:val="nil"/>
            </w:tcBorders>
            <w:shd w:val="clear" w:color="auto" w:fill="auto"/>
            <w:noWrap/>
            <w:vAlign w:val="bottom"/>
          </w:tcPr>
          <w:p w14:paraId="088B70C3">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正面地面反射增益</w:t>
            </w:r>
          </w:p>
        </w:tc>
      </w:tr>
      <w:tr w14:paraId="03F9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4886B43C">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5F70964F">
            <w:pPr>
              <w:pStyle w:val="26"/>
              <w:pageBreakBefore w:val="0"/>
              <w:widowControl w:val="0"/>
              <w:topLinePunct w:val="0"/>
              <w:bidi w:val="0"/>
              <w:rPr>
                <w:color w:val="auto"/>
                <w:sz w:val="24"/>
                <w:szCs w:val="24"/>
                <w:highlight w:val="none"/>
              </w:rPr>
            </w:pPr>
            <w:r>
              <w:rPr>
                <w:rFonts w:hint="eastAsia"/>
                <w:color w:val="auto"/>
                <w:sz w:val="24"/>
                <w:szCs w:val="24"/>
                <w:highlight w:val="none"/>
              </w:rPr>
              <w:t>6</w:t>
            </w:r>
          </w:p>
        </w:tc>
        <w:tc>
          <w:tcPr>
            <w:tcW w:w="3528" w:type="pct"/>
            <w:tcBorders>
              <w:tl2br w:val="nil"/>
              <w:tr2bl w:val="nil"/>
            </w:tcBorders>
            <w:shd w:val="clear" w:color="auto" w:fill="auto"/>
            <w:noWrap/>
            <w:vAlign w:val="bottom"/>
          </w:tcPr>
          <w:p w14:paraId="29781C1C">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背面增益（采用双面组件时，考虑组件双面率）</w:t>
            </w:r>
          </w:p>
        </w:tc>
      </w:tr>
      <w:tr w14:paraId="6CE9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pct"/>
            <w:vMerge w:val="continue"/>
            <w:tcBorders>
              <w:tl2br w:val="nil"/>
              <w:tr2bl w:val="nil"/>
            </w:tcBorders>
            <w:shd w:val="clear" w:color="auto" w:fill="auto"/>
            <w:noWrap/>
            <w:vAlign w:val="center"/>
          </w:tcPr>
          <w:p w14:paraId="198A0993">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0E70F337">
            <w:pPr>
              <w:pStyle w:val="26"/>
              <w:pageBreakBefore w:val="0"/>
              <w:widowControl w:val="0"/>
              <w:topLinePunct w:val="0"/>
              <w:bidi w:val="0"/>
              <w:rPr>
                <w:color w:val="auto"/>
                <w:sz w:val="24"/>
                <w:szCs w:val="24"/>
                <w:highlight w:val="none"/>
              </w:rPr>
            </w:pPr>
            <w:r>
              <w:rPr>
                <w:rFonts w:hint="eastAsia"/>
                <w:color w:val="auto"/>
                <w:sz w:val="24"/>
                <w:szCs w:val="24"/>
                <w:highlight w:val="none"/>
              </w:rPr>
              <w:t>7</w:t>
            </w:r>
          </w:p>
        </w:tc>
        <w:tc>
          <w:tcPr>
            <w:tcW w:w="3528" w:type="pct"/>
            <w:tcBorders>
              <w:tl2br w:val="nil"/>
              <w:tr2bl w:val="nil"/>
            </w:tcBorders>
            <w:shd w:val="clear" w:color="auto" w:fill="auto"/>
            <w:noWrap/>
            <w:vAlign w:val="bottom"/>
          </w:tcPr>
          <w:p w14:paraId="3BDB66E7">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辐照强度导致的损失修正系数</w:t>
            </w:r>
          </w:p>
        </w:tc>
      </w:tr>
      <w:tr w14:paraId="3D0B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5A8F5776">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0A7C39F2">
            <w:pPr>
              <w:pStyle w:val="26"/>
              <w:pageBreakBefore w:val="0"/>
              <w:widowControl w:val="0"/>
              <w:topLinePunct w:val="0"/>
              <w:bidi w:val="0"/>
              <w:rPr>
                <w:color w:val="auto"/>
                <w:sz w:val="24"/>
                <w:szCs w:val="24"/>
                <w:highlight w:val="none"/>
              </w:rPr>
            </w:pPr>
            <w:r>
              <w:rPr>
                <w:rFonts w:hint="eastAsia"/>
                <w:color w:val="auto"/>
                <w:sz w:val="24"/>
                <w:szCs w:val="24"/>
                <w:highlight w:val="none"/>
              </w:rPr>
              <w:t>8</w:t>
            </w:r>
          </w:p>
        </w:tc>
        <w:tc>
          <w:tcPr>
            <w:tcW w:w="3528" w:type="pct"/>
            <w:tcBorders>
              <w:tl2br w:val="nil"/>
              <w:tr2bl w:val="nil"/>
            </w:tcBorders>
            <w:shd w:val="clear" w:color="auto" w:fill="auto"/>
            <w:noWrap/>
            <w:vAlign w:val="bottom"/>
          </w:tcPr>
          <w:p w14:paraId="4202795D">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组件温度导致损失修正系数</w:t>
            </w:r>
          </w:p>
        </w:tc>
      </w:tr>
      <w:tr w14:paraId="1855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2D2CDCF0">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5BAEC45E">
            <w:pPr>
              <w:pStyle w:val="26"/>
              <w:pageBreakBefore w:val="0"/>
              <w:widowControl w:val="0"/>
              <w:topLinePunct w:val="0"/>
              <w:bidi w:val="0"/>
              <w:rPr>
                <w:color w:val="auto"/>
                <w:sz w:val="24"/>
                <w:szCs w:val="24"/>
                <w:highlight w:val="none"/>
              </w:rPr>
            </w:pPr>
            <w:r>
              <w:rPr>
                <w:rFonts w:hint="eastAsia"/>
                <w:color w:val="auto"/>
                <w:sz w:val="24"/>
                <w:szCs w:val="24"/>
                <w:highlight w:val="none"/>
              </w:rPr>
              <w:t>9</w:t>
            </w:r>
          </w:p>
        </w:tc>
        <w:tc>
          <w:tcPr>
            <w:tcW w:w="3528" w:type="pct"/>
            <w:tcBorders>
              <w:tl2br w:val="nil"/>
              <w:tr2bl w:val="nil"/>
            </w:tcBorders>
            <w:shd w:val="clear" w:color="auto" w:fill="auto"/>
            <w:noWrap/>
            <w:vAlign w:val="bottom"/>
          </w:tcPr>
          <w:p w14:paraId="0B61701F">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阴影电气效应损失修正系数</w:t>
            </w:r>
          </w:p>
        </w:tc>
      </w:tr>
      <w:tr w14:paraId="4219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21C8849A">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4780C41E">
            <w:pPr>
              <w:pStyle w:val="26"/>
              <w:pageBreakBefore w:val="0"/>
              <w:widowControl w:val="0"/>
              <w:topLinePunct w:val="0"/>
              <w:bidi w:val="0"/>
              <w:rPr>
                <w:color w:val="auto"/>
                <w:sz w:val="24"/>
                <w:szCs w:val="24"/>
                <w:highlight w:val="none"/>
              </w:rPr>
            </w:pPr>
            <w:r>
              <w:rPr>
                <w:rFonts w:hint="eastAsia"/>
                <w:color w:val="auto"/>
                <w:sz w:val="24"/>
                <w:szCs w:val="24"/>
                <w:highlight w:val="none"/>
              </w:rPr>
              <w:t>10</w:t>
            </w:r>
          </w:p>
        </w:tc>
        <w:tc>
          <w:tcPr>
            <w:tcW w:w="3528" w:type="pct"/>
            <w:tcBorders>
              <w:tl2br w:val="nil"/>
              <w:tr2bl w:val="nil"/>
            </w:tcBorders>
            <w:shd w:val="clear" w:color="auto" w:fill="auto"/>
            <w:noWrap/>
            <w:vAlign w:val="bottom"/>
          </w:tcPr>
          <w:p w14:paraId="7C9B13C5">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组件品质损失修正系数</w:t>
            </w:r>
          </w:p>
        </w:tc>
      </w:tr>
      <w:tr w14:paraId="5B1A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7D487350">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C790E35">
            <w:pPr>
              <w:pStyle w:val="26"/>
              <w:pageBreakBefore w:val="0"/>
              <w:widowControl w:val="0"/>
              <w:topLinePunct w:val="0"/>
              <w:bidi w:val="0"/>
              <w:rPr>
                <w:color w:val="auto"/>
                <w:sz w:val="24"/>
                <w:szCs w:val="24"/>
                <w:highlight w:val="none"/>
              </w:rPr>
            </w:pPr>
            <w:r>
              <w:rPr>
                <w:rFonts w:hint="eastAsia"/>
                <w:color w:val="auto"/>
                <w:sz w:val="24"/>
                <w:szCs w:val="24"/>
                <w:highlight w:val="none"/>
              </w:rPr>
              <w:t>11</w:t>
            </w:r>
          </w:p>
        </w:tc>
        <w:tc>
          <w:tcPr>
            <w:tcW w:w="3528" w:type="pct"/>
            <w:tcBorders>
              <w:tl2br w:val="nil"/>
              <w:tr2bl w:val="nil"/>
            </w:tcBorders>
            <w:shd w:val="clear" w:color="auto" w:fill="auto"/>
            <w:noWrap/>
            <w:vAlign w:val="bottom"/>
          </w:tcPr>
          <w:p w14:paraId="58574D16">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组件类型修正系数（采用晶硅组件不需考虑）</w:t>
            </w:r>
          </w:p>
        </w:tc>
      </w:tr>
      <w:tr w14:paraId="2A45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4105E71D">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206DC665">
            <w:pPr>
              <w:pStyle w:val="26"/>
              <w:pageBreakBefore w:val="0"/>
              <w:widowControl w:val="0"/>
              <w:topLinePunct w:val="0"/>
              <w:bidi w:val="0"/>
              <w:rPr>
                <w:color w:val="auto"/>
                <w:sz w:val="24"/>
                <w:szCs w:val="24"/>
                <w:highlight w:val="none"/>
              </w:rPr>
            </w:pPr>
            <w:r>
              <w:rPr>
                <w:rFonts w:hint="eastAsia"/>
                <w:color w:val="auto"/>
                <w:sz w:val="24"/>
                <w:szCs w:val="24"/>
                <w:highlight w:val="none"/>
              </w:rPr>
              <w:t>12</w:t>
            </w:r>
          </w:p>
        </w:tc>
        <w:tc>
          <w:tcPr>
            <w:tcW w:w="3528" w:type="pct"/>
            <w:tcBorders>
              <w:tl2br w:val="nil"/>
              <w:tr2bl w:val="nil"/>
            </w:tcBorders>
            <w:shd w:val="clear" w:color="auto" w:fill="auto"/>
            <w:noWrap/>
            <w:vAlign w:val="bottom"/>
          </w:tcPr>
          <w:p w14:paraId="75BE07D4">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光伏组件失配损失修正系数</w:t>
            </w:r>
          </w:p>
        </w:tc>
      </w:tr>
      <w:tr w14:paraId="3627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4337B9B7">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DFE9B9B">
            <w:pPr>
              <w:pStyle w:val="26"/>
              <w:pageBreakBefore w:val="0"/>
              <w:widowControl w:val="0"/>
              <w:topLinePunct w:val="0"/>
              <w:bidi w:val="0"/>
              <w:rPr>
                <w:color w:val="auto"/>
                <w:sz w:val="24"/>
                <w:szCs w:val="24"/>
                <w:highlight w:val="none"/>
              </w:rPr>
            </w:pPr>
            <w:r>
              <w:rPr>
                <w:rFonts w:hint="eastAsia"/>
                <w:color w:val="auto"/>
                <w:sz w:val="24"/>
                <w:szCs w:val="24"/>
                <w:highlight w:val="none"/>
              </w:rPr>
              <w:t>13</w:t>
            </w:r>
          </w:p>
        </w:tc>
        <w:tc>
          <w:tcPr>
            <w:tcW w:w="3528" w:type="pct"/>
            <w:tcBorders>
              <w:tl2br w:val="nil"/>
              <w:tr2bl w:val="nil"/>
            </w:tcBorders>
            <w:shd w:val="clear" w:color="auto" w:fill="auto"/>
            <w:noWrap/>
            <w:vAlign w:val="bottom"/>
          </w:tcPr>
          <w:p w14:paraId="0C1383DF">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背面辐射失配修正系数（采用双面组件时，考虑组件双面率）</w:t>
            </w:r>
          </w:p>
        </w:tc>
      </w:tr>
      <w:tr w14:paraId="146A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64BC3D3D">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6F185C2D">
            <w:pPr>
              <w:pStyle w:val="26"/>
              <w:pageBreakBefore w:val="0"/>
              <w:widowControl w:val="0"/>
              <w:topLinePunct w:val="0"/>
              <w:bidi w:val="0"/>
              <w:rPr>
                <w:color w:val="auto"/>
                <w:sz w:val="24"/>
                <w:szCs w:val="24"/>
                <w:highlight w:val="none"/>
              </w:rPr>
            </w:pPr>
            <w:r>
              <w:rPr>
                <w:rFonts w:hint="eastAsia"/>
                <w:color w:val="auto"/>
                <w:sz w:val="24"/>
                <w:szCs w:val="24"/>
                <w:highlight w:val="none"/>
              </w:rPr>
              <w:t>14</w:t>
            </w:r>
          </w:p>
        </w:tc>
        <w:tc>
          <w:tcPr>
            <w:tcW w:w="3528" w:type="pct"/>
            <w:tcBorders>
              <w:tl2br w:val="nil"/>
              <w:tr2bl w:val="nil"/>
            </w:tcBorders>
            <w:shd w:val="clear" w:color="auto" w:fill="auto"/>
            <w:noWrap/>
            <w:vAlign w:val="bottom"/>
          </w:tcPr>
          <w:p w14:paraId="1F3C7F02">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直流电缆线损修正系数</w:t>
            </w:r>
          </w:p>
        </w:tc>
      </w:tr>
      <w:tr w14:paraId="4A86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7E25A27E">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672509A5">
            <w:pPr>
              <w:pStyle w:val="26"/>
              <w:pageBreakBefore w:val="0"/>
              <w:widowControl w:val="0"/>
              <w:topLinePunct w:val="0"/>
              <w:bidi w:val="0"/>
              <w:rPr>
                <w:color w:val="auto"/>
                <w:sz w:val="24"/>
                <w:szCs w:val="24"/>
                <w:highlight w:val="none"/>
              </w:rPr>
            </w:pPr>
            <w:r>
              <w:rPr>
                <w:rFonts w:hint="eastAsia"/>
                <w:color w:val="auto"/>
                <w:sz w:val="24"/>
                <w:szCs w:val="24"/>
                <w:highlight w:val="none"/>
              </w:rPr>
              <w:t>15</w:t>
            </w:r>
          </w:p>
        </w:tc>
        <w:tc>
          <w:tcPr>
            <w:tcW w:w="3528" w:type="pct"/>
            <w:tcBorders>
              <w:tl2br w:val="nil"/>
              <w:tr2bl w:val="nil"/>
            </w:tcBorders>
            <w:shd w:val="clear" w:color="auto" w:fill="auto"/>
            <w:noWrap/>
            <w:vAlign w:val="bottom"/>
          </w:tcPr>
          <w:p w14:paraId="26A9C956">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阵列对向微地形山体影响损失</w:t>
            </w:r>
          </w:p>
        </w:tc>
      </w:tr>
      <w:tr w14:paraId="4349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restart"/>
            <w:tcBorders>
              <w:tl2br w:val="nil"/>
              <w:tr2bl w:val="nil"/>
            </w:tcBorders>
            <w:shd w:val="clear" w:color="auto" w:fill="auto"/>
            <w:noWrap/>
            <w:vAlign w:val="center"/>
          </w:tcPr>
          <w:p w14:paraId="60BD0FD8">
            <w:pPr>
              <w:pStyle w:val="26"/>
              <w:pageBreakBefore w:val="0"/>
              <w:widowControl w:val="0"/>
              <w:topLinePunct w:val="0"/>
              <w:bidi w:val="0"/>
              <w:rPr>
                <w:color w:val="auto"/>
                <w:sz w:val="24"/>
                <w:szCs w:val="24"/>
                <w:highlight w:val="none"/>
              </w:rPr>
            </w:pPr>
            <w:r>
              <w:rPr>
                <w:rFonts w:hint="eastAsia"/>
                <w:color w:val="auto"/>
                <w:sz w:val="24"/>
                <w:szCs w:val="24"/>
                <w:highlight w:val="none"/>
              </w:rPr>
              <w:t>逆变器效率η</w:t>
            </w:r>
            <w:r>
              <w:rPr>
                <w:rFonts w:hint="eastAsia"/>
                <w:color w:val="auto"/>
                <w:sz w:val="24"/>
                <w:szCs w:val="24"/>
                <w:highlight w:val="none"/>
                <w:vertAlign w:val="subscript"/>
              </w:rPr>
              <w:t>2</w:t>
            </w:r>
          </w:p>
        </w:tc>
        <w:tc>
          <w:tcPr>
            <w:tcW w:w="416" w:type="pct"/>
            <w:tcBorders>
              <w:tl2br w:val="nil"/>
              <w:tr2bl w:val="nil"/>
            </w:tcBorders>
            <w:shd w:val="clear" w:color="auto" w:fill="auto"/>
            <w:noWrap/>
            <w:vAlign w:val="bottom"/>
          </w:tcPr>
          <w:p w14:paraId="64646932">
            <w:pPr>
              <w:pStyle w:val="26"/>
              <w:pageBreakBefore w:val="0"/>
              <w:widowControl w:val="0"/>
              <w:topLinePunct w:val="0"/>
              <w:bidi w:val="0"/>
              <w:rPr>
                <w:color w:val="auto"/>
                <w:sz w:val="24"/>
                <w:szCs w:val="24"/>
                <w:highlight w:val="none"/>
              </w:rPr>
            </w:pPr>
            <w:r>
              <w:rPr>
                <w:rFonts w:hint="eastAsia"/>
                <w:color w:val="auto"/>
                <w:sz w:val="24"/>
                <w:szCs w:val="24"/>
                <w:highlight w:val="none"/>
              </w:rPr>
              <w:t>16</w:t>
            </w:r>
          </w:p>
        </w:tc>
        <w:tc>
          <w:tcPr>
            <w:tcW w:w="3528" w:type="pct"/>
            <w:tcBorders>
              <w:tl2br w:val="nil"/>
              <w:tr2bl w:val="nil"/>
            </w:tcBorders>
            <w:shd w:val="clear" w:color="auto" w:fill="auto"/>
            <w:noWrap/>
            <w:vAlign w:val="bottom"/>
          </w:tcPr>
          <w:p w14:paraId="50CE4E2C">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逆变器效率修正系数</w:t>
            </w:r>
          </w:p>
        </w:tc>
      </w:tr>
      <w:tr w14:paraId="17BC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6EE45606">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5E741161">
            <w:pPr>
              <w:pStyle w:val="26"/>
              <w:pageBreakBefore w:val="0"/>
              <w:widowControl w:val="0"/>
              <w:topLinePunct w:val="0"/>
              <w:bidi w:val="0"/>
              <w:rPr>
                <w:color w:val="auto"/>
                <w:sz w:val="24"/>
                <w:szCs w:val="24"/>
                <w:highlight w:val="none"/>
              </w:rPr>
            </w:pPr>
            <w:r>
              <w:rPr>
                <w:rFonts w:hint="eastAsia"/>
                <w:color w:val="auto"/>
                <w:sz w:val="24"/>
                <w:szCs w:val="24"/>
                <w:highlight w:val="none"/>
              </w:rPr>
              <w:t>17</w:t>
            </w:r>
          </w:p>
        </w:tc>
        <w:tc>
          <w:tcPr>
            <w:tcW w:w="3528" w:type="pct"/>
            <w:tcBorders>
              <w:tl2br w:val="nil"/>
              <w:tr2bl w:val="nil"/>
            </w:tcBorders>
            <w:shd w:val="clear" w:color="auto" w:fill="auto"/>
            <w:noWrap/>
            <w:vAlign w:val="bottom"/>
          </w:tcPr>
          <w:p w14:paraId="1AA656DB">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逆变器超配损失修正系数</w:t>
            </w:r>
          </w:p>
        </w:tc>
      </w:tr>
      <w:tr w14:paraId="13C7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restart"/>
            <w:tcBorders>
              <w:tl2br w:val="nil"/>
              <w:tr2bl w:val="nil"/>
            </w:tcBorders>
            <w:shd w:val="clear" w:color="auto" w:fill="auto"/>
            <w:noWrap/>
            <w:vAlign w:val="center"/>
          </w:tcPr>
          <w:p w14:paraId="15BC5EAC">
            <w:pPr>
              <w:pStyle w:val="26"/>
              <w:pageBreakBefore w:val="0"/>
              <w:widowControl w:val="0"/>
              <w:topLinePunct w:val="0"/>
              <w:bidi w:val="0"/>
              <w:rPr>
                <w:color w:val="auto"/>
                <w:sz w:val="24"/>
                <w:szCs w:val="24"/>
                <w:highlight w:val="none"/>
              </w:rPr>
            </w:pPr>
            <w:r>
              <w:rPr>
                <w:rFonts w:hint="eastAsia"/>
                <w:color w:val="auto"/>
                <w:sz w:val="24"/>
                <w:szCs w:val="24"/>
                <w:highlight w:val="none"/>
              </w:rPr>
              <w:t>交流系统效率η</w:t>
            </w:r>
            <w:r>
              <w:rPr>
                <w:rFonts w:hint="eastAsia"/>
                <w:color w:val="auto"/>
                <w:sz w:val="24"/>
                <w:szCs w:val="24"/>
                <w:highlight w:val="none"/>
                <w:vertAlign w:val="subscript"/>
              </w:rPr>
              <w:t>3</w:t>
            </w:r>
          </w:p>
        </w:tc>
        <w:tc>
          <w:tcPr>
            <w:tcW w:w="416" w:type="pct"/>
            <w:tcBorders>
              <w:tl2br w:val="nil"/>
              <w:tr2bl w:val="nil"/>
            </w:tcBorders>
            <w:shd w:val="clear" w:color="auto" w:fill="auto"/>
            <w:noWrap/>
            <w:vAlign w:val="bottom"/>
          </w:tcPr>
          <w:p w14:paraId="2A74F467">
            <w:pPr>
              <w:pStyle w:val="26"/>
              <w:pageBreakBefore w:val="0"/>
              <w:widowControl w:val="0"/>
              <w:topLinePunct w:val="0"/>
              <w:bidi w:val="0"/>
              <w:rPr>
                <w:color w:val="auto"/>
                <w:sz w:val="24"/>
                <w:szCs w:val="24"/>
                <w:highlight w:val="none"/>
              </w:rPr>
            </w:pPr>
            <w:r>
              <w:rPr>
                <w:rFonts w:hint="eastAsia"/>
                <w:color w:val="auto"/>
                <w:sz w:val="24"/>
                <w:szCs w:val="24"/>
                <w:highlight w:val="none"/>
              </w:rPr>
              <w:t>18</w:t>
            </w:r>
          </w:p>
        </w:tc>
        <w:tc>
          <w:tcPr>
            <w:tcW w:w="3528" w:type="pct"/>
            <w:tcBorders>
              <w:tl2br w:val="nil"/>
              <w:tr2bl w:val="nil"/>
            </w:tcBorders>
            <w:shd w:val="clear" w:color="auto" w:fill="auto"/>
            <w:noWrap/>
            <w:vAlign w:val="bottom"/>
          </w:tcPr>
          <w:p w14:paraId="4B1987A2">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交流线损修正系数</w:t>
            </w:r>
          </w:p>
        </w:tc>
      </w:tr>
      <w:tr w14:paraId="1C4D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6DF3B908">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4879082D">
            <w:pPr>
              <w:pStyle w:val="26"/>
              <w:pageBreakBefore w:val="0"/>
              <w:widowControl w:val="0"/>
              <w:topLinePunct w:val="0"/>
              <w:bidi w:val="0"/>
              <w:rPr>
                <w:color w:val="auto"/>
                <w:sz w:val="24"/>
                <w:szCs w:val="24"/>
                <w:highlight w:val="none"/>
              </w:rPr>
            </w:pPr>
            <w:r>
              <w:rPr>
                <w:rFonts w:hint="eastAsia"/>
                <w:color w:val="auto"/>
                <w:sz w:val="24"/>
                <w:szCs w:val="24"/>
                <w:highlight w:val="none"/>
              </w:rPr>
              <w:t>19</w:t>
            </w:r>
          </w:p>
        </w:tc>
        <w:tc>
          <w:tcPr>
            <w:tcW w:w="3528" w:type="pct"/>
            <w:tcBorders>
              <w:tl2br w:val="nil"/>
              <w:tr2bl w:val="nil"/>
            </w:tcBorders>
            <w:shd w:val="clear" w:color="auto" w:fill="auto"/>
            <w:noWrap/>
            <w:vAlign w:val="bottom"/>
          </w:tcPr>
          <w:p w14:paraId="7150D13C">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中压变压器损耗修正系数</w:t>
            </w:r>
          </w:p>
        </w:tc>
      </w:tr>
      <w:tr w14:paraId="6710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35C56B4E">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C102EB4">
            <w:pPr>
              <w:pStyle w:val="26"/>
              <w:pageBreakBefore w:val="0"/>
              <w:widowControl w:val="0"/>
              <w:topLinePunct w:val="0"/>
              <w:bidi w:val="0"/>
              <w:rPr>
                <w:color w:val="auto"/>
                <w:sz w:val="24"/>
                <w:szCs w:val="24"/>
                <w:highlight w:val="none"/>
              </w:rPr>
            </w:pPr>
            <w:r>
              <w:rPr>
                <w:rFonts w:hint="eastAsia"/>
                <w:color w:val="auto"/>
                <w:sz w:val="24"/>
                <w:szCs w:val="24"/>
                <w:highlight w:val="none"/>
              </w:rPr>
              <w:t>20</w:t>
            </w:r>
          </w:p>
        </w:tc>
        <w:tc>
          <w:tcPr>
            <w:tcW w:w="3528" w:type="pct"/>
            <w:tcBorders>
              <w:tl2br w:val="nil"/>
              <w:tr2bl w:val="nil"/>
            </w:tcBorders>
            <w:shd w:val="clear" w:color="auto" w:fill="auto"/>
            <w:noWrap/>
            <w:vAlign w:val="bottom"/>
          </w:tcPr>
          <w:p w14:paraId="16093D1A">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中压线路损耗修正系数</w:t>
            </w:r>
          </w:p>
        </w:tc>
      </w:tr>
      <w:tr w14:paraId="4D9F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7A783040">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07A628B1">
            <w:pPr>
              <w:pStyle w:val="26"/>
              <w:pageBreakBefore w:val="0"/>
              <w:widowControl w:val="0"/>
              <w:topLinePunct w:val="0"/>
              <w:bidi w:val="0"/>
              <w:rPr>
                <w:color w:val="auto"/>
                <w:sz w:val="24"/>
                <w:szCs w:val="24"/>
                <w:highlight w:val="none"/>
              </w:rPr>
            </w:pPr>
            <w:r>
              <w:rPr>
                <w:rFonts w:hint="eastAsia"/>
                <w:color w:val="auto"/>
                <w:sz w:val="24"/>
                <w:szCs w:val="24"/>
                <w:highlight w:val="none"/>
              </w:rPr>
              <w:t>21</w:t>
            </w:r>
          </w:p>
        </w:tc>
        <w:tc>
          <w:tcPr>
            <w:tcW w:w="3528" w:type="pct"/>
            <w:tcBorders>
              <w:tl2br w:val="nil"/>
              <w:tr2bl w:val="nil"/>
            </w:tcBorders>
            <w:shd w:val="clear" w:color="auto" w:fill="auto"/>
            <w:noWrap/>
            <w:vAlign w:val="bottom"/>
          </w:tcPr>
          <w:p w14:paraId="5AA7B166">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高压变压器损耗修正系数</w:t>
            </w:r>
          </w:p>
        </w:tc>
      </w:tr>
      <w:tr w14:paraId="6069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74A3F021">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151A31DD">
            <w:pPr>
              <w:pStyle w:val="26"/>
              <w:pageBreakBefore w:val="0"/>
              <w:widowControl w:val="0"/>
              <w:topLinePunct w:val="0"/>
              <w:bidi w:val="0"/>
              <w:rPr>
                <w:color w:val="auto"/>
                <w:sz w:val="24"/>
                <w:szCs w:val="24"/>
                <w:highlight w:val="none"/>
              </w:rPr>
            </w:pPr>
            <w:r>
              <w:rPr>
                <w:rFonts w:hint="eastAsia"/>
                <w:color w:val="auto"/>
                <w:sz w:val="24"/>
                <w:szCs w:val="24"/>
                <w:highlight w:val="none"/>
              </w:rPr>
              <w:t>22</w:t>
            </w:r>
          </w:p>
        </w:tc>
        <w:tc>
          <w:tcPr>
            <w:tcW w:w="3528" w:type="pct"/>
            <w:tcBorders>
              <w:tl2br w:val="nil"/>
              <w:tr2bl w:val="nil"/>
            </w:tcBorders>
            <w:shd w:val="clear" w:color="auto" w:fill="auto"/>
            <w:noWrap/>
            <w:vAlign w:val="bottom"/>
          </w:tcPr>
          <w:p w14:paraId="5C151EDF">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高压线损修正系数</w:t>
            </w:r>
          </w:p>
        </w:tc>
      </w:tr>
      <w:tr w14:paraId="7EDB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1553DDA6">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67B6C13F">
            <w:pPr>
              <w:pStyle w:val="26"/>
              <w:pageBreakBefore w:val="0"/>
              <w:widowControl w:val="0"/>
              <w:topLinePunct w:val="0"/>
              <w:bidi w:val="0"/>
              <w:rPr>
                <w:color w:val="auto"/>
                <w:sz w:val="24"/>
                <w:szCs w:val="24"/>
                <w:highlight w:val="none"/>
              </w:rPr>
            </w:pPr>
            <w:r>
              <w:rPr>
                <w:rFonts w:hint="eastAsia"/>
                <w:color w:val="auto"/>
                <w:sz w:val="24"/>
                <w:szCs w:val="24"/>
                <w:highlight w:val="none"/>
              </w:rPr>
              <w:t>23</w:t>
            </w:r>
          </w:p>
        </w:tc>
        <w:tc>
          <w:tcPr>
            <w:tcW w:w="3528" w:type="pct"/>
            <w:tcBorders>
              <w:tl2br w:val="nil"/>
              <w:tr2bl w:val="nil"/>
            </w:tcBorders>
            <w:shd w:val="clear" w:color="auto" w:fill="auto"/>
            <w:noWrap/>
            <w:vAlign w:val="bottom"/>
          </w:tcPr>
          <w:p w14:paraId="6566B101">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站用电率修正系数</w:t>
            </w:r>
          </w:p>
        </w:tc>
      </w:tr>
      <w:tr w14:paraId="3C21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55" w:type="pct"/>
            <w:vMerge w:val="continue"/>
            <w:tcBorders>
              <w:tl2br w:val="nil"/>
              <w:tr2bl w:val="nil"/>
            </w:tcBorders>
            <w:shd w:val="clear" w:color="auto" w:fill="auto"/>
            <w:noWrap/>
            <w:vAlign w:val="center"/>
          </w:tcPr>
          <w:p w14:paraId="47A229F5">
            <w:pPr>
              <w:pStyle w:val="26"/>
              <w:pageBreakBefore w:val="0"/>
              <w:widowControl w:val="0"/>
              <w:topLinePunct w:val="0"/>
              <w:bidi w:val="0"/>
              <w:rPr>
                <w:color w:val="auto"/>
                <w:sz w:val="24"/>
                <w:szCs w:val="24"/>
                <w:highlight w:val="none"/>
              </w:rPr>
            </w:pPr>
          </w:p>
        </w:tc>
        <w:tc>
          <w:tcPr>
            <w:tcW w:w="416" w:type="pct"/>
            <w:tcBorders>
              <w:tl2br w:val="nil"/>
              <w:tr2bl w:val="nil"/>
            </w:tcBorders>
            <w:shd w:val="clear" w:color="auto" w:fill="auto"/>
            <w:noWrap/>
            <w:vAlign w:val="bottom"/>
          </w:tcPr>
          <w:p w14:paraId="70676B33">
            <w:pPr>
              <w:pStyle w:val="26"/>
              <w:pageBreakBefore w:val="0"/>
              <w:widowControl w:val="0"/>
              <w:topLinePunct w:val="0"/>
              <w:bidi w:val="0"/>
              <w:rPr>
                <w:color w:val="auto"/>
                <w:sz w:val="24"/>
                <w:szCs w:val="24"/>
                <w:highlight w:val="none"/>
              </w:rPr>
            </w:pPr>
            <w:r>
              <w:rPr>
                <w:rFonts w:hint="eastAsia"/>
                <w:color w:val="auto"/>
                <w:sz w:val="24"/>
                <w:szCs w:val="24"/>
                <w:highlight w:val="none"/>
              </w:rPr>
              <w:t>24</w:t>
            </w:r>
          </w:p>
        </w:tc>
        <w:tc>
          <w:tcPr>
            <w:tcW w:w="3528" w:type="pct"/>
            <w:tcBorders>
              <w:tl2br w:val="nil"/>
              <w:tr2bl w:val="nil"/>
            </w:tcBorders>
            <w:shd w:val="clear" w:color="auto" w:fill="auto"/>
            <w:noWrap/>
            <w:vAlign w:val="bottom"/>
          </w:tcPr>
          <w:p w14:paraId="49C907DD">
            <w:pPr>
              <w:pStyle w:val="26"/>
              <w:pageBreakBefore w:val="0"/>
              <w:widowControl w:val="0"/>
              <w:topLinePunct w:val="0"/>
              <w:bidi w:val="0"/>
              <w:jc w:val="both"/>
              <w:rPr>
                <w:color w:val="auto"/>
                <w:sz w:val="24"/>
                <w:szCs w:val="24"/>
                <w:highlight w:val="none"/>
              </w:rPr>
            </w:pPr>
            <w:r>
              <w:rPr>
                <w:rFonts w:hint="eastAsia"/>
                <w:color w:val="auto"/>
                <w:sz w:val="24"/>
                <w:szCs w:val="24"/>
                <w:highlight w:val="none"/>
              </w:rPr>
              <w:t>系统失效度</w:t>
            </w:r>
          </w:p>
        </w:tc>
      </w:tr>
    </w:tbl>
    <w:p w14:paraId="06EC6403">
      <w:pPr>
        <w:pStyle w:val="29"/>
        <w:bidi w:val="0"/>
        <w:rPr>
          <w:color w:val="auto"/>
          <w:lang w:eastAsia="zh-CN"/>
        </w:rPr>
      </w:pPr>
      <w:r>
        <w:rPr>
          <w:rFonts w:hint="eastAsia"/>
          <w:b/>
          <w:bCs/>
          <w:color w:val="auto"/>
          <w:lang w:val="en-US" w:eastAsia="zh-CN"/>
        </w:rPr>
        <w:t>6. 5. 3</w:t>
      </w:r>
      <w:r>
        <w:rPr>
          <w:rFonts w:hint="eastAsia"/>
          <w:b/>
          <w:bCs/>
          <w:color w:val="auto"/>
        </w:rPr>
        <w:t>　</w:t>
      </w:r>
      <w:r>
        <w:rPr>
          <w:rFonts w:hint="eastAsia"/>
          <w:color w:val="auto"/>
          <w:lang w:eastAsia="zh-CN"/>
        </w:rPr>
        <w:t>光伏阵列面太阳总辐照量（GA）应结合山地光伏电站布置特点，按照光伏阵列实际倾角、方位角进行统计分析，统计步长宜按方位角采用5°。</w:t>
      </w:r>
    </w:p>
    <w:p w14:paraId="1DCFF678">
      <w:pPr>
        <w:pStyle w:val="29"/>
        <w:bidi w:val="0"/>
        <w:rPr>
          <w:color w:val="auto"/>
          <w:lang w:eastAsia="zh-CN"/>
        </w:rPr>
      </w:pPr>
      <w:r>
        <w:rPr>
          <w:rFonts w:hint="eastAsia"/>
          <w:b/>
          <w:bCs/>
          <w:color w:val="auto"/>
          <w:lang w:val="en-US" w:eastAsia="zh-CN"/>
        </w:rPr>
        <w:t>6. 5. 4</w:t>
      </w:r>
      <w:r>
        <w:rPr>
          <w:rFonts w:hint="eastAsia"/>
          <w:b/>
          <w:bCs/>
          <w:color w:val="auto"/>
        </w:rPr>
        <w:t>　</w:t>
      </w:r>
      <w:r>
        <w:rPr>
          <w:rFonts w:hint="eastAsia"/>
          <w:color w:val="auto"/>
          <w:lang w:eastAsia="zh-CN"/>
        </w:rPr>
        <w:t>山地光伏电站布置方式复杂，系统效率中远景遮挡损失、近阴影遮挡损失、阵列对向微地形山体影响三者之间存在相互重叠，应根据阵列布置方式核减损失。</w:t>
      </w:r>
    </w:p>
    <w:p w14:paraId="356F0F39">
      <w:pPr>
        <w:pStyle w:val="29"/>
        <w:bidi w:val="0"/>
        <w:rPr>
          <w:color w:val="auto"/>
          <w:lang w:eastAsia="zh-CN"/>
        </w:rPr>
      </w:pPr>
      <w:r>
        <w:rPr>
          <w:rFonts w:hint="eastAsia"/>
          <w:b/>
          <w:bCs/>
          <w:color w:val="auto"/>
          <w:lang w:val="en-US" w:eastAsia="zh-CN"/>
        </w:rPr>
        <w:t>6. 5. 5</w:t>
      </w:r>
      <w:r>
        <w:rPr>
          <w:rFonts w:hint="eastAsia"/>
          <w:b/>
          <w:bCs/>
          <w:color w:val="auto"/>
        </w:rPr>
        <w:t>　</w:t>
      </w:r>
      <w:r>
        <w:rPr>
          <w:rFonts w:hint="eastAsia"/>
          <w:color w:val="auto"/>
          <w:lang w:eastAsia="zh-CN"/>
        </w:rPr>
        <w:t>系统效率不考虑光伏组件衰减，应在电量计算时单独考虑。</w:t>
      </w:r>
    </w:p>
    <w:p w14:paraId="239AD4E1">
      <w:pPr>
        <w:pStyle w:val="31"/>
        <w:bidi w:val="0"/>
        <w:outlineLvl w:val="1"/>
        <w:rPr>
          <w:color w:val="auto"/>
          <w:lang w:eastAsia="zh-CN"/>
        </w:rPr>
      </w:pPr>
      <w:bookmarkStart w:id="67" w:name="_Toc28443"/>
      <w:bookmarkStart w:id="68" w:name="_Toc8919"/>
      <w:bookmarkStart w:id="69" w:name="_Toc31535"/>
      <w:r>
        <w:rPr>
          <w:rFonts w:hint="eastAsia"/>
          <w:b/>
          <w:bCs/>
          <w:color w:val="auto"/>
          <w:lang w:val="en-US" w:eastAsia="zh-CN"/>
        </w:rPr>
        <w:t>6. 6</w:t>
      </w:r>
      <w:r>
        <w:rPr>
          <w:rFonts w:hint="eastAsia" w:ascii="宋体" w:hAnsi="宋体" w:cs="宋体"/>
          <w:bCs/>
          <w:color w:val="auto"/>
          <w:kern w:val="44"/>
          <w:szCs w:val="44"/>
        </w:rPr>
        <w:t>　</w:t>
      </w:r>
      <w:r>
        <w:rPr>
          <w:rFonts w:hint="eastAsia"/>
          <w:color w:val="auto"/>
          <w:lang w:eastAsia="zh-CN"/>
        </w:rPr>
        <w:t>跟踪系统</w:t>
      </w:r>
      <w:bookmarkEnd w:id="67"/>
      <w:bookmarkEnd w:id="68"/>
      <w:bookmarkEnd w:id="69"/>
    </w:p>
    <w:p w14:paraId="71D227AF">
      <w:pPr>
        <w:pStyle w:val="29"/>
        <w:bidi w:val="0"/>
        <w:rPr>
          <w:color w:val="auto"/>
          <w:lang w:eastAsia="zh-CN"/>
        </w:rPr>
      </w:pPr>
      <w:r>
        <w:rPr>
          <w:rFonts w:hint="eastAsia"/>
          <w:b/>
          <w:bCs/>
          <w:color w:val="auto"/>
          <w:lang w:val="en-US" w:eastAsia="zh-CN"/>
        </w:rPr>
        <w:t>6. 6. 1</w:t>
      </w:r>
      <w:r>
        <w:rPr>
          <w:rFonts w:hint="eastAsia"/>
          <w:color w:val="auto"/>
        </w:rPr>
        <w:t>　</w:t>
      </w:r>
      <w:r>
        <w:rPr>
          <w:color w:val="auto"/>
          <w:lang w:eastAsia="zh-CN"/>
        </w:rPr>
        <w:t>跟踪系统应符合现行国家标准《光伏电站太阳跟踪系统技术要求》GB/T 29320的规定。</w:t>
      </w:r>
    </w:p>
    <w:p w14:paraId="7E9DF7AD">
      <w:pPr>
        <w:pStyle w:val="29"/>
        <w:bidi w:val="0"/>
        <w:rPr>
          <w:color w:val="auto"/>
          <w:lang w:eastAsia="zh-CN"/>
        </w:rPr>
      </w:pPr>
      <w:r>
        <w:rPr>
          <w:rFonts w:hint="eastAsia"/>
          <w:b/>
          <w:bCs/>
          <w:color w:val="auto"/>
          <w:lang w:val="en-US" w:eastAsia="zh-CN"/>
        </w:rPr>
        <w:t>6. 6. 2</w:t>
      </w:r>
      <w:r>
        <w:rPr>
          <w:rFonts w:hint="eastAsia"/>
          <w:color w:val="auto"/>
        </w:rPr>
        <w:t>　</w:t>
      </w:r>
      <w:r>
        <w:rPr>
          <w:color w:val="auto"/>
          <w:lang w:eastAsia="zh-CN"/>
        </w:rPr>
        <w:t>跟踪系统宜采用主动跟踪，且宜采用闭环控制方式，位置反馈信号采集宜采用角度传感器，跟踪效果反馈信息宜采用对应组串的实时功率或电流信号</w:t>
      </w:r>
      <w:r>
        <w:rPr>
          <w:rFonts w:hint="eastAsia"/>
          <w:color w:val="auto"/>
          <w:lang w:eastAsia="zh-CN"/>
        </w:rPr>
        <w:t>。</w:t>
      </w:r>
    </w:p>
    <w:p w14:paraId="155D9150">
      <w:pPr>
        <w:pStyle w:val="29"/>
        <w:bidi w:val="0"/>
        <w:outlineLvl w:val="9"/>
        <w:rPr>
          <w:color w:val="auto"/>
          <w:lang w:eastAsia="zh-CN"/>
        </w:rPr>
      </w:pPr>
      <w:r>
        <w:rPr>
          <w:rFonts w:hint="eastAsia"/>
          <w:b/>
          <w:bCs/>
          <w:color w:val="auto"/>
          <w:lang w:val="en-US" w:eastAsia="zh-CN"/>
        </w:rPr>
        <w:t>6. 6. 3</w:t>
      </w:r>
      <w:r>
        <w:rPr>
          <w:rFonts w:hint="eastAsia"/>
          <w:color w:val="auto"/>
        </w:rPr>
        <w:t>　</w:t>
      </w:r>
      <w:r>
        <w:rPr>
          <w:color w:val="auto"/>
          <w:lang w:eastAsia="zh-CN"/>
        </w:rPr>
        <w:t>跟踪系统的设计应符合下列要求：</w:t>
      </w:r>
    </w:p>
    <w:p w14:paraId="21742B99">
      <w:pPr>
        <w:pStyle w:val="29"/>
        <w:bidi w:val="0"/>
        <w:ind w:firstLine="562" w:firstLineChars="200"/>
        <w:rPr>
          <w:rFonts w:hint="default"/>
          <w:color w:val="auto"/>
          <w:lang w:val="en-US" w:eastAsia="zh-CN"/>
        </w:rPr>
      </w:pPr>
      <w:r>
        <w:rPr>
          <w:b/>
          <w:bCs/>
          <w:color w:val="auto"/>
          <w:lang w:eastAsia="zh-CN"/>
        </w:rPr>
        <w:t>1</w:t>
      </w:r>
      <w:r>
        <w:rPr>
          <w:rFonts w:hint="eastAsia"/>
          <w:color w:val="auto"/>
        </w:rPr>
        <w:t>　</w:t>
      </w:r>
      <w:r>
        <w:rPr>
          <w:color w:val="auto"/>
          <w:lang w:eastAsia="zh-CN"/>
        </w:rPr>
        <w:t>跟踪系统的支架应根据不同地区特点采取相应的防护措施</w:t>
      </w:r>
      <w:r>
        <w:rPr>
          <w:rFonts w:hint="eastAsia"/>
          <w:color w:val="auto"/>
          <w:lang w:eastAsia="zh-CN"/>
        </w:rPr>
        <w:t>；</w:t>
      </w:r>
    </w:p>
    <w:p w14:paraId="449C34C4">
      <w:pPr>
        <w:pStyle w:val="29"/>
        <w:bidi w:val="0"/>
        <w:ind w:firstLine="562" w:firstLineChars="200"/>
        <w:rPr>
          <w:color w:val="auto"/>
          <w:lang w:eastAsia="zh-CN"/>
        </w:rPr>
      </w:pPr>
      <w:r>
        <w:rPr>
          <w:b/>
          <w:bCs/>
          <w:color w:val="auto"/>
          <w:lang w:eastAsia="zh-CN"/>
        </w:rPr>
        <w:t>2</w:t>
      </w:r>
      <w:r>
        <w:rPr>
          <w:rFonts w:hint="eastAsia"/>
          <w:color w:val="auto"/>
        </w:rPr>
        <w:t>　</w:t>
      </w:r>
      <w:r>
        <w:rPr>
          <w:color w:val="auto"/>
          <w:lang w:eastAsia="zh-CN"/>
        </w:rPr>
        <w:t>跟踪系统宜有通讯端口</w:t>
      </w:r>
      <w:r>
        <w:rPr>
          <w:rFonts w:hint="eastAsia"/>
          <w:color w:val="auto"/>
          <w:lang w:eastAsia="zh-CN"/>
        </w:rPr>
        <w:t>；</w:t>
      </w:r>
    </w:p>
    <w:p w14:paraId="421FD384">
      <w:pPr>
        <w:pStyle w:val="29"/>
        <w:bidi w:val="0"/>
        <w:ind w:firstLine="562" w:firstLineChars="200"/>
        <w:rPr>
          <w:color w:val="auto"/>
          <w:lang w:eastAsia="zh-CN"/>
        </w:rPr>
      </w:pPr>
      <w:r>
        <w:rPr>
          <w:b/>
          <w:bCs/>
          <w:color w:val="auto"/>
          <w:lang w:eastAsia="zh-CN"/>
        </w:rPr>
        <w:t>3</w:t>
      </w:r>
      <w:r>
        <w:rPr>
          <w:rFonts w:hint="eastAsia"/>
          <w:color w:val="auto"/>
        </w:rPr>
        <w:t>　</w:t>
      </w:r>
      <w:r>
        <w:rPr>
          <w:color w:val="auto"/>
          <w:lang w:eastAsia="zh-CN"/>
        </w:rPr>
        <w:t>在跟踪系统的运行过程中，光伏方阵组件串的最下端与地面的距离不宜小于300mm</w:t>
      </w:r>
      <w:r>
        <w:rPr>
          <w:rFonts w:hint="eastAsia"/>
          <w:color w:val="auto"/>
          <w:lang w:eastAsia="zh-CN"/>
        </w:rPr>
        <w:t>。</w:t>
      </w:r>
    </w:p>
    <w:p w14:paraId="2214B738">
      <w:pPr>
        <w:pStyle w:val="29"/>
        <w:bidi w:val="0"/>
        <w:outlineLvl w:val="9"/>
        <w:rPr>
          <w:color w:val="auto"/>
          <w:lang w:eastAsia="zh-CN"/>
        </w:rPr>
      </w:pPr>
      <w:r>
        <w:rPr>
          <w:rFonts w:hint="eastAsia"/>
          <w:b/>
          <w:bCs/>
          <w:color w:val="auto"/>
          <w:lang w:val="en-US" w:eastAsia="zh-CN"/>
        </w:rPr>
        <w:t>6. 6. 4</w:t>
      </w:r>
      <w:r>
        <w:rPr>
          <w:rFonts w:hint="eastAsia"/>
          <w:color w:val="auto"/>
        </w:rPr>
        <w:t>　</w:t>
      </w:r>
      <w:r>
        <w:rPr>
          <w:color w:val="auto"/>
          <w:lang w:eastAsia="zh-CN"/>
        </w:rPr>
        <w:t>跟踪系统的选择应符合下列要求：</w:t>
      </w:r>
    </w:p>
    <w:p w14:paraId="4B4EC4B0">
      <w:pPr>
        <w:pStyle w:val="29"/>
        <w:bidi w:val="0"/>
        <w:ind w:firstLine="562" w:firstLineChars="200"/>
        <w:rPr>
          <w:color w:val="auto"/>
          <w:lang w:eastAsia="zh-CN"/>
        </w:rPr>
      </w:pPr>
      <w:r>
        <w:rPr>
          <w:b/>
          <w:bCs/>
          <w:color w:val="auto"/>
          <w:lang w:eastAsia="zh-CN"/>
        </w:rPr>
        <w:t>1</w:t>
      </w:r>
      <w:r>
        <w:rPr>
          <w:rFonts w:hint="eastAsia"/>
          <w:color w:val="auto"/>
        </w:rPr>
        <w:t>　</w:t>
      </w:r>
      <w:r>
        <w:rPr>
          <w:color w:val="auto"/>
          <w:lang w:eastAsia="zh-CN"/>
        </w:rPr>
        <w:t>跟踪系统的选型应结合安装地点的环境情况、气候特征、太阳能资源、场地条件等因素，经技术经济比较后确定</w:t>
      </w:r>
      <w:r>
        <w:rPr>
          <w:rFonts w:hint="eastAsia"/>
          <w:color w:val="auto"/>
          <w:lang w:eastAsia="zh-CN"/>
        </w:rPr>
        <w:t>；</w:t>
      </w:r>
    </w:p>
    <w:p w14:paraId="3C585F7D">
      <w:pPr>
        <w:pStyle w:val="29"/>
        <w:bidi w:val="0"/>
        <w:ind w:firstLine="562" w:firstLineChars="200"/>
        <w:rPr>
          <w:color w:val="auto"/>
          <w:lang w:eastAsia="zh-CN"/>
        </w:rPr>
      </w:pPr>
      <w:r>
        <w:rPr>
          <w:b/>
          <w:bCs/>
          <w:color w:val="auto"/>
          <w:lang w:eastAsia="zh-CN"/>
        </w:rPr>
        <w:t>2</w:t>
      </w:r>
      <w:r>
        <w:rPr>
          <w:rFonts w:hint="eastAsia"/>
          <w:color w:val="auto"/>
        </w:rPr>
        <w:t>　</w:t>
      </w:r>
      <w:r>
        <w:rPr>
          <w:color w:val="auto"/>
          <w:lang w:eastAsia="zh-CN"/>
        </w:rPr>
        <w:t>水平单轴跟踪系统宜安装在低纬度地区</w:t>
      </w:r>
      <w:r>
        <w:rPr>
          <w:rFonts w:hint="eastAsia"/>
          <w:color w:val="auto"/>
          <w:lang w:eastAsia="zh-CN"/>
        </w:rPr>
        <w:t>；</w:t>
      </w:r>
    </w:p>
    <w:p w14:paraId="06E7EFEE">
      <w:pPr>
        <w:pStyle w:val="29"/>
        <w:bidi w:val="0"/>
        <w:ind w:firstLine="562" w:firstLineChars="200"/>
        <w:rPr>
          <w:color w:val="auto"/>
          <w:lang w:eastAsia="zh-CN"/>
        </w:rPr>
      </w:pPr>
      <w:r>
        <w:rPr>
          <w:rFonts w:hint="eastAsia"/>
          <w:b/>
          <w:bCs/>
          <w:color w:val="auto"/>
          <w:lang w:eastAsia="zh-CN"/>
        </w:rPr>
        <w:t>3</w:t>
      </w:r>
      <w:r>
        <w:rPr>
          <w:rFonts w:hint="eastAsia"/>
          <w:color w:val="auto"/>
        </w:rPr>
        <w:t>　</w:t>
      </w:r>
      <w:r>
        <w:rPr>
          <w:color w:val="auto"/>
          <w:lang w:eastAsia="zh-CN"/>
        </w:rPr>
        <w:t>容易对传感器产生污染的地区不宜选用被动控制方式的跟踪系统。</w:t>
      </w:r>
    </w:p>
    <w:p w14:paraId="715CB7FE">
      <w:pPr>
        <w:pStyle w:val="29"/>
        <w:bidi w:val="0"/>
        <w:ind w:firstLine="562" w:firstLineChars="200"/>
        <w:rPr>
          <w:color w:val="auto"/>
          <w:lang w:eastAsia="zh-CN"/>
        </w:rPr>
      </w:pPr>
      <w:r>
        <w:rPr>
          <w:rFonts w:hint="eastAsia"/>
          <w:b/>
          <w:bCs/>
          <w:color w:val="auto"/>
          <w:lang w:eastAsia="zh-CN"/>
        </w:rPr>
        <w:t>4</w:t>
      </w:r>
      <w:r>
        <w:rPr>
          <w:rFonts w:hint="eastAsia"/>
          <w:color w:val="auto"/>
        </w:rPr>
        <w:t>　</w:t>
      </w:r>
      <w:r>
        <w:rPr>
          <w:color w:val="auto"/>
          <w:lang w:eastAsia="zh-CN"/>
        </w:rPr>
        <w:t>宜具备在紧急状态下通过远程控制将跟踪系统的角度调整至受风最小位置的功能</w:t>
      </w:r>
      <w:r>
        <w:rPr>
          <w:rFonts w:hint="eastAsia"/>
          <w:color w:val="auto"/>
          <w:lang w:eastAsia="zh-CN"/>
        </w:rPr>
        <w:t>；</w:t>
      </w:r>
    </w:p>
    <w:p w14:paraId="1A850ECF">
      <w:pPr>
        <w:pStyle w:val="29"/>
        <w:bidi w:val="0"/>
        <w:ind w:firstLine="562" w:firstLineChars="200"/>
        <w:rPr>
          <w:color w:val="auto"/>
          <w:lang w:eastAsia="zh-CN"/>
        </w:rPr>
      </w:pPr>
      <w:r>
        <w:rPr>
          <w:rFonts w:hint="eastAsia"/>
          <w:b/>
          <w:bCs/>
          <w:color w:val="auto"/>
          <w:lang w:eastAsia="zh-CN"/>
        </w:rPr>
        <w:t>5</w:t>
      </w:r>
      <w:r>
        <w:rPr>
          <w:rFonts w:hint="eastAsia"/>
          <w:color w:val="auto"/>
        </w:rPr>
        <w:t>　</w:t>
      </w:r>
      <w:r>
        <w:rPr>
          <w:color w:val="auto"/>
          <w:lang w:eastAsia="zh-CN"/>
        </w:rPr>
        <w:t>单轴跟踪的可转动范围宜为-45°~+45°</w:t>
      </w:r>
      <w:r>
        <w:rPr>
          <w:rFonts w:hint="eastAsia"/>
          <w:color w:val="auto"/>
          <w:lang w:eastAsia="zh-CN"/>
        </w:rPr>
        <w:t>；</w:t>
      </w:r>
    </w:p>
    <w:p w14:paraId="6C9F5FB9">
      <w:pPr>
        <w:pStyle w:val="29"/>
        <w:bidi w:val="0"/>
        <w:ind w:firstLine="562" w:firstLineChars="200"/>
        <w:rPr>
          <w:color w:val="auto"/>
          <w:lang w:eastAsia="zh-CN"/>
        </w:rPr>
      </w:pPr>
      <w:r>
        <w:rPr>
          <w:rFonts w:hint="eastAsia"/>
          <w:b/>
          <w:bCs/>
          <w:color w:val="auto"/>
          <w:lang w:eastAsia="zh-CN"/>
        </w:rPr>
        <w:t>6</w:t>
      </w:r>
      <w:r>
        <w:rPr>
          <w:rFonts w:hint="eastAsia"/>
          <w:color w:val="auto"/>
        </w:rPr>
        <w:t>　</w:t>
      </w:r>
      <w:r>
        <w:rPr>
          <w:color w:val="auto"/>
          <w:lang w:eastAsia="zh-CN"/>
        </w:rPr>
        <w:t>跟踪系统应具备防阴影遮挡的自动反向跟踪控制功能</w:t>
      </w:r>
      <w:r>
        <w:rPr>
          <w:rFonts w:hint="eastAsia"/>
          <w:color w:val="auto"/>
          <w:lang w:eastAsia="zh-CN"/>
        </w:rPr>
        <w:t>；</w:t>
      </w:r>
    </w:p>
    <w:p w14:paraId="4B1F6038">
      <w:pPr>
        <w:pStyle w:val="29"/>
        <w:bidi w:val="0"/>
        <w:ind w:firstLine="562" w:firstLineChars="200"/>
        <w:rPr>
          <w:color w:val="auto"/>
          <w:lang w:eastAsia="zh-CN"/>
        </w:rPr>
      </w:pPr>
      <w:r>
        <w:rPr>
          <w:rFonts w:hint="eastAsia"/>
          <w:b/>
          <w:bCs/>
          <w:color w:val="auto"/>
          <w:lang w:eastAsia="zh-CN"/>
        </w:rPr>
        <w:t>7</w:t>
      </w:r>
      <w:r>
        <w:rPr>
          <w:rFonts w:hint="eastAsia"/>
          <w:color w:val="auto"/>
        </w:rPr>
        <w:t>　</w:t>
      </w:r>
      <w:r>
        <w:rPr>
          <w:color w:val="auto"/>
          <w:lang w:eastAsia="zh-CN"/>
        </w:rPr>
        <w:t>控制系统户外布置时防护等级不应低于IP54</w:t>
      </w:r>
      <w:r>
        <w:rPr>
          <w:rFonts w:hint="eastAsia"/>
          <w:color w:val="auto"/>
          <w:lang w:eastAsia="zh-CN"/>
        </w:rPr>
        <w:t>；</w:t>
      </w:r>
    </w:p>
    <w:p w14:paraId="41C07621">
      <w:pPr>
        <w:pStyle w:val="29"/>
        <w:bidi w:val="0"/>
        <w:ind w:firstLine="562" w:firstLineChars="200"/>
        <w:rPr>
          <w:color w:val="auto"/>
          <w:lang w:eastAsia="zh-CN"/>
        </w:rPr>
      </w:pPr>
      <w:r>
        <w:rPr>
          <w:rFonts w:hint="eastAsia"/>
          <w:b/>
          <w:bCs/>
          <w:color w:val="auto"/>
          <w:lang w:eastAsia="zh-CN"/>
        </w:rPr>
        <w:t>8</w:t>
      </w:r>
      <w:r>
        <w:rPr>
          <w:rFonts w:hint="eastAsia"/>
          <w:color w:val="auto"/>
        </w:rPr>
        <w:t>　</w:t>
      </w:r>
      <w:r>
        <w:rPr>
          <w:color w:val="auto"/>
          <w:lang w:eastAsia="zh-CN"/>
        </w:rPr>
        <w:t>跟踪系统支撑结构部分的转动轴承应满足长期户外使用条件，其使用寿命应与电站设计寿命相同</w:t>
      </w:r>
      <w:r>
        <w:rPr>
          <w:rFonts w:hint="eastAsia"/>
          <w:color w:val="auto"/>
          <w:lang w:eastAsia="zh-CN"/>
        </w:rPr>
        <w:t>；</w:t>
      </w:r>
    </w:p>
    <w:p w14:paraId="71DB1910">
      <w:pPr>
        <w:pStyle w:val="29"/>
        <w:bidi w:val="0"/>
        <w:ind w:firstLine="562" w:firstLineChars="200"/>
        <w:rPr>
          <w:color w:val="auto"/>
          <w:lang w:eastAsia="zh-CN"/>
        </w:rPr>
      </w:pPr>
      <w:r>
        <w:rPr>
          <w:rFonts w:hint="eastAsia"/>
          <w:b/>
          <w:bCs/>
          <w:color w:val="auto"/>
          <w:lang w:eastAsia="zh-CN"/>
        </w:rPr>
        <w:t>9</w:t>
      </w:r>
      <w:r>
        <w:rPr>
          <w:rFonts w:hint="eastAsia"/>
          <w:color w:val="auto"/>
        </w:rPr>
        <w:t>　</w:t>
      </w:r>
      <w:r>
        <w:rPr>
          <w:color w:val="auto"/>
          <w:lang w:eastAsia="zh-CN"/>
        </w:rPr>
        <w:t>跟踪系统驱动装置应满足长期户外使用条件，维护、更换简便，防护等级不应低于IP54</w:t>
      </w:r>
      <w:r>
        <w:rPr>
          <w:rFonts w:hint="eastAsia"/>
          <w:color w:val="auto"/>
          <w:lang w:eastAsia="zh-CN"/>
        </w:rPr>
        <w:t>；</w:t>
      </w:r>
    </w:p>
    <w:p w14:paraId="673CB429">
      <w:pPr>
        <w:pStyle w:val="29"/>
        <w:bidi w:val="0"/>
        <w:ind w:firstLine="562" w:firstLineChars="200"/>
        <w:rPr>
          <w:color w:val="auto"/>
          <w:lang w:eastAsia="zh-CN"/>
        </w:rPr>
      </w:pPr>
      <w:r>
        <w:rPr>
          <w:b/>
          <w:bCs/>
          <w:color w:val="auto"/>
          <w:lang w:eastAsia="zh-CN"/>
        </w:rPr>
        <w:t>1</w:t>
      </w:r>
      <w:r>
        <w:rPr>
          <w:rFonts w:hint="eastAsia"/>
          <w:b/>
          <w:bCs/>
          <w:color w:val="auto"/>
          <w:lang w:eastAsia="zh-CN"/>
        </w:rPr>
        <w:t>0</w:t>
      </w:r>
      <w:r>
        <w:rPr>
          <w:rFonts w:hint="eastAsia"/>
          <w:color w:val="auto"/>
        </w:rPr>
        <w:t>　</w:t>
      </w:r>
      <w:r>
        <w:rPr>
          <w:color w:val="auto"/>
          <w:lang w:eastAsia="zh-CN"/>
        </w:rPr>
        <w:t>跟踪系统宜设置减震措施，在可耐受风速和积雪条件下，工作和保护状态时的支架结构应稳定可靠</w:t>
      </w:r>
      <w:r>
        <w:rPr>
          <w:rFonts w:hint="eastAsia"/>
          <w:color w:val="auto"/>
          <w:lang w:eastAsia="zh-CN"/>
        </w:rPr>
        <w:t>；</w:t>
      </w:r>
    </w:p>
    <w:p w14:paraId="2B844482">
      <w:pPr>
        <w:pStyle w:val="29"/>
        <w:bidi w:val="0"/>
        <w:ind w:firstLine="562" w:firstLineChars="200"/>
        <w:rPr>
          <w:color w:val="auto"/>
          <w:highlight w:val="none"/>
          <w:lang w:eastAsia="zh-CN"/>
        </w:rPr>
      </w:pPr>
      <w:r>
        <w:rPr>
          <w:b/>
          <w:bCs/>
          <w:color w:val="auto"/>
          <w:lang w:eastAsia="zh-CN"/>
        </w:rPr>
        <w:t>1</w:t>
      </w:r>
      <w:r>
        <w:rPr>
          <w:rFonts w:hint="eastAsia"/>
          <w:b/>
          <w:bCs/>
          <w:color w:val="auto"/>
          <w:lang w:val="en-US" w:eastAsia="zh-CN"/>
        </w:rPr>
        <w:t>1</w:t>
      </w:r>
      <w:r>
        <w:rPr>
          <w:rFonts w:hint="eastAsia"/>
          <w:color w:val="auto"/>
        </w:rPr>
        <w:t>　</w:t>
      </w:r>
      <w:r>
        <w:rPr>
          <w:color w:val="auto"/>
          <w:lang w:eastAsia="zh-CN"/>
        </w:rPr>
        <w:t>跟踪系统的跟踪精度</w:t>
      </w:r>
      <w:r>
        <w:rPr>
          <w:rFonts w:hint="eastAsia"/>
          <w:color w:val="auto"/>
          <w:lang w:eastAsia="zh-CN"/>
        </w:rPr>
        <w:t>不应低于±3°。</w:t>
      </w:r>
    </w:p>
    <w:p w14:paraId="55DD1912">
      <w:pPr>
        <w:pStyle w:val="31"/>
        <w:bidi w:val="0"/>
        <w:outlineLvl w:val="1"/>
        <w:rPr>
          <w:color w:val="auto"/>
          <w:lang w:eastAsia="zh-CN"/>
        </w:rPr>
      </w:pPr>
      <w:bookmarkStart w:id="70" w:name="_Toc18339"/>
      <w:bookmarkStart w:id="71" w:name="_Toc22325"/>
      <w:bookmarkStart w:id="72" w:name="_Toc26462"/>
      <w:r>
        <w:rPr>
          <w:rFonts w:hint="eastAsia"/>
          <w:b/>
          <w:bCs/>
          <w:color w:val="auto"/>
          <w:lang w:val="en-US" w:eastAsia="zh-CN"/>
        </w:rPr>
        <w:t>6. 7</w:t>
      </w:r>
      <w:r>
        <w:rPr>
          <w:rFonts w:hint="eastAsia" w:ascii="宋体" w:hAnsi="宋体" w:cs="宋体"/>
          <w:bCs/>
          <w:color w:val="auto"/>
          <w:kern w:val="44"/>
          <w:szCs w:val="44"/>
        </w:rPr>
        <w:t>　</w:t>
      </w:r>
      <w:r>
        <w:rPr>
          <w:rFonts w:hint="eastAsia"/>
          <w:color w:val="auto"/>
          <w:lang w:eastAsia="zh-CN"/>
        </w:rPr>
        <w:t>光伏支架</w:t>
      </w:r>
      <w:bookmarkEnd w:id="70"/>
      <w:bookmarkEnd w:id="71"/>
      <w:bookmarkEnd w:id="72"/>
    </w:p>
    <w:p w14:paraId="7CFCF4A7">
      <w:pPr>
        <w:pStyle w:val="29"/>
        <w:bidi w:val="0"/>
        <w:rPr>
          <w:color w:val="auto"/>
          <w:lang w:eastAsia="zh-CN"/>
        </w:rPr>
      </w:pPr>
      <w:r>
        <w:rPr>
          <w:rFonts w:hint="eastAsia"/>
          <w:b/>
          <w:bCs/>
          <w:color w:val="auto"/>
          <w:lang w:val="en-US" w:eastAsia="zh-CN"/>
        </w:rPr>
        <w:t>6. 7. 1</w:t>
      </w:r>
      <w:r>
        <w:rPr>
          <w:rFonts w:hint="eastAsia"/>
          <w:color w:val="auto"/>
        </w:rPr>
        <w:t>　</w:t>
      </w:r>
      <w:r>
        <w:rPr>
          <w:color w:val="auto"/>
          <w:lang w:eastAsia="zh-CN"/>
        </w:rPr>
        <w:t>光伏支架结构设计除应满足承载力极限状态和正常使用极限状态外，还应满足耐久性和防腐等要求。</w:t>
      </w:r>
    </w:p>
    <w:p w14:paraId="0B7C493F">
      <w:pPr>
        <w:pStyle w:val="29"/>
        <w:bidi w:val="0"/>
        <w:outlineLvl w:val="9"/>
        <w:rPr>
          <w:color w:val="auto"/>
          <w:lang w:eastAsia="zh-CN"/>
        </w:rPr>
      </w:pPr>
      <w:r>
        <w:rPr>
          <w:rFonts w:hint="eastAsia"/>
          <w:b/>
          <w:bCs/>
          <w:color w:val="auto"/>
          <w:lang w:val="en-US" w:eastAsia="zh-CN"/>
        </w:rPr>
        <w:t>6. 7. 2</w:t>
      </w:r>
      <w:r>
        <w:rPr>
          <w:rFonts w:hint="eastAsia"/>
          <w:color w:val="auto"/>
        </w:rPr>
        <w:t>　</w:t>
      </w:r>
      <w:r>
        <w:rPr>
          <w:color w:val="auto"/>
          <w:lang w:eastAsia="zh-CN"/>
        </w:rPr>
        <w:t>光伏电站的光伏支架设计使用年限</w:t>
      </w:r>
      <w:r>
        <w:rPr>
          <w:rFonts w:hint="eastAsia"/>
          <w:color w:val="auto"/>
          <w:lang w:val="en-US" w:eastAsia="zh-CN"/>
        </w:rPr>
        <w:t>不应小于</w:t>
      </w:r>
      <w:r>
        <w:rPr>
          <w:color w:val="auto"/>
          <w:lang w:eastAsia="zh-CN"/>
        </w:rPr>
        <w:t>25年</w:t>
      </w:r>
      <w:r>
        <w:rPr>
          <w:rFonts w:hint="eastAsia"/>
          <w:color w:val="auto"/>
          <w:lang w:eastAsia="zh-CN"/>
        </w:rPr>
        <w:t>。</w:t>
      </w:r>
    </w:p>
    <w:p w14:paraId="6EFA4A62">
      <w:pPr>
        <w:pStyle w:val="29"/>
        <w:bidi w:val="0"/>
        <w:outlineLvl w:val="9"/>
        <w:rPr>
          <w:color w:val="auto"/>
          <w:lang w:eastAsia="zh-CN"/>
        </w:rPr>
      </w:pPr>
      <w:r>
        <w:rPr>
          <w:rFonts w:hint="eastAsia"/>
          <w:b/>
          <w:bCs/>
          <w:color w:val="auto"/>
          <w:lang w:val="en-US" w:eastAsia="zh-CN"/>
        </w:rPr>
        <w:t>6. 7. 3</w:t>
      </w:r>
      <w:r>
        <w:rPr>
          <w:rFonts w:hint="eastAsia"/>
          <w:color w:val="auto"/>
        </w:rPr>
        <w:t>　</w:t>
      </w:r>
      <w:r>
        <w:rPr>
          <w:color w:val="auto"/>
          <w:lang w:eastAsia="zh-CN"/>
        </w:rPr>
        <w:t>光伏电站的光伏支架结构安全等级应为三级</w:t>
      </w:r>
      <w:r>
        <w:rPr>
          <w:rFonts w:hint="eastAsia"/>
          <w:color w:val="auto"/>
          <w:lang w:eastAsia="zh-CN"/>
        </w:rPr>
        <w:t>。</w:t>
      </w:r>
    </w:p>
    <w:p w14:paraId="112FC27E">
      <w:pPr>
        <w:pStyle w:val="29"/>
        <w:bidi w:val="0"/>
        <w:rPr>
          <w:color w:val="auto"/>
          <w:lang w:eastAsia="zh-CN"/>
        </w:rPr>
      </w:pPr>
      <w:r>
        <w:rPr>
          <w:rFonts w:hint="eastAsia"/>
          <w:b/>
          <w:bCs/>
          <w:color w:val="auto"/>
          <w:lang w:val="en-US" w:eastAsia="zh-CN"/>
        </w:rPr>
        <w:t>6. 7. 4</w:t>
      </w:r>
      <w:r>
        <w:rPr>
          <w:rFonts w:hint="eastAsia"/>
          <w:color w:val="auto"/>
        </w:rPr>
        <w:t>　</w:t>
      </w:r>
      <w:r>
        <w:rPr>
          <w:color w:val="auto"/>
          <w:lang w:eastAsia="zh-CN"/>
        </w:rPr>
        <w:t>按承载能力极限状态设计结构构件时，应采用荷载效应的基本组合。荷载效应组合的设计值应按下式验算：</w:t>
      </w:r>
    </w:p>
    <w:p w14:paraId="47B8EE62">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0</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lang w:eastAsia="zh-CN"/>
              </w:rPr>
              <m:t>S</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r>
          <m:rPr>
            <m:sty m:val="p"/>
          </m:rPr>
          <w:rPr>
            <w:rFonts w:ascii="Cambria Math" w:hAnsi="Cambria Math"/>
            <w:color w:val="auto"/>
            <w:lang w:eastAsia="zh-CN"/>
          </w:rPr>
          <m:t>≤</m:t>
        </m:r>
        <m:sSub>
          <m:sSubPr>
            <m:ctrlPr>
              <w:rPr>
                <w:rFonts w:ascii="Cambria Math" w:hAnsi="Cambria Math"/>
                <w:color w:val="auto"/>
              </w:rPr>
            </m:ctrlPr>
          </m:sSubPr>
          <m:e>
            <m:r>
              <m:rPr>
                <m:sty m:val="p"/>
              </m:rPr>
              <w:rPr>
                <w:rFonts w:ascii="Cambria Math" w:hAnsi="Cambria Math"/>
                <w:color w:val="auto"/>
                <w:lang w:eastAsia="zh-CN"/>
              </w:rPr>
              <m:t>R</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oMath>
      <w:r>
        <w:rPr>
          <w:rFonts w:hint="eastAsia"/>
          <w:color w:val="auto"/>
          <w:lang w:eastAsia="zh-CN"/>
        </w:rPr>
        <w:t xml:space="preserve"> </w:t>
      </w:r>
      <w:r>
        <w:rPr>
          <w:color w:val="auto"/>
          <w:lang w:eastAsia="zh-CN"/>
        </w:rPr>
        <w:t xml:space="preserve">   </w:t>
      </w:r>
      <w:r>
        <w:rPr>
          <w:rFonts w:hint="eastAsia"/>
          <w:b/>
          <w:bCs/>
          <w:color w:val="auto"/>
          <w:lang w:eastAsia="zh-CN"/>
        </w:rPr>
        <w:t>（</w:t>
      </w:r>
      <w:r>
        <w:rPr>
          <w:b/>
          <w:bCs/>
          <w:color w:val="auto"/>
          <w:lang w:eastAsia="zh-CN"/>
        </w:rPr>
        <w:t>6.</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w:t>
      </w:r>
      <w:r>
        <w:rPr>
          <w:b/>
          <w:bCs/>
          <w:color w:val="auto"/>
          <w:lang w:eastAsia="zh-CN"/>
        </w:rPr>
        <w:t>4</w:t>
      </w:r>
      <w:r>
        <w:rPr>
          <w:rFonts w:hint="eastAsia"/>
          <w:b/>
          <w:bCs/>
          <w:color w:val="auto"/>
          <w:lang w:eastAsia="zh-CN"/>
        </w:rPr>
        <w:t>）</w:t>
      </w:r>
    </w:p>
    <w:p w14:paraId="1E77CA99">
      <w:pPr>
        <w:pStyle w:val="29"/>
        <w:bidi w:val="0"/>
        <w:ind w:firstLine="560" w:firstLineChars="200"/>
        <w:rPr>
          <w:color w:val="auto"/>
          <w:lang w:eastAsia="zh-CN"/>
        </w:rPr>
      </w:pPr>
      <w:r>
        <w:rPr>
          <w:color w:val="auto"/>
          <w:lang w:eastAsia="zh-CN"/>
        </w:rPr>
        <w:t>式中：</w:t>
      </w:r>
    </w:p>
    <w:p w14:paraId="201B95E1">
      <w:pPr>
        <w:pStyle w:val="29"/>
        <w:bidi w:val="0"/>
        <w:ind w:firstLine="560" w:firstLineChars="200"/>
        <w:rPr>
          <w:rFonts w:hint="eastAsia"/>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0</m:t>
            </m:r>
            <m:ctrlPr>
              <w:rPr>
                <w:rFonts w:ascii="Cambria Math" w:hAnsi="Cambria Math"/>
                <w:color w:val="auto"/>
              </w:rPr>
            </m:ctrlPr>
          </m:sub>
        </m:sSub>
      </m:oMath>
      <w:r>
        <w:rPr>
          <w:color w:val="auto"/>
          <w:lang w:eastAsia="zh-CN"/>
        </w:rPr>
        <w:t>——</w:t>
      </w:r>
      <w:r>
        <w:rPr>
          <w:rFonts w:hint="eastAsia"/>
          <w:color w:val="auto"/>
          <w:lang w:eastAsia="zh-CN"/>
        </w:rPr>
        <w:t>结构</w:t>
      </w:r>
      <w:r>
        <w:rPr>
          <w:color w:val="auto"/>
          <w:lang w:eastAsia="zh-CN"/>
        </w:rPr>
        <w:t>重要性系数</w:t>
      </w:r>
      <w:r>
        <w:rPr>
          <w:rFonts w:hint="eastAsia"/>
          <w:color w:val="auto"/>
          <w:lang w:eastAsia="zh-CN"/>
        </w:rPr>
        <w:t>，非抗震设计时，取值</w:t>
      </w:r>
      <w:r>
        <w:rPr>
          <w:color w:val="auto"/>
          <w:lang w:eastAsia="zh-CN"/>
        </w:rPr>
        <w:t>不</w:t>
      </w:r>
      <w:r>
        <w:rPr>
          <w:rFonts w:hint="eastAsia"/>
          <w:color w:val="auto"/>
          <w:lang w:eastAsia="zh-CN"/>
        </w:rPr>
        <w:t>应</w:t>
      </w:r>
      <w:r>
        <w:rPr>
          <w:color w:val="auto"/>
          <w:lang w:eastAsia="zh-CN"/>
        </w:rPr>
        <w:t>小于</w:t>
      </w:r>
      <w:r>
        <w:rPr>
          <w:rFonts w:hint="eastAsia"/>
          <w:color w:val="auto"/>
          <w:lang w:eastAsia="zh-CN"/>
        </w:rPr>
        <w:t>0.9</w:t>
      </w:r>
      <w:r>
        <w:rPr>
          <w:color w:val="auto"/>
          <w:lang w:eastAsia="zh-CN"/>
        </w:rPr>
        <w:t>；</w:t>
      </w:r>
      <w:r>
        <w:rPr>
          <w:rFonts w:hint="eastAsia"/>
          <w:color w:val="auto"/>
          <w:lang w:eastAsia="zh-CN"/>
        </w:rPr>
        <w:t>抗震设计时取1</w:t>
      </w:r>
      <w:r>
        <w:rPr>
          <w:color w:val="auto"/>
          <w:lang w:eastAsia="zh-CN"/>
        </w:rPr>
        <w:t>.0</w:t>
      </w:r>
      <w:r>
        <w:rPr>
          <w:rFonts w:hint="eastAsia"/>
          <w:color w:val="auto"/>
          <w:lang w:eastAsia="zh-CN"/>
        </w:rPr>
        <w:t>；</w:t>
      </w:r>
    </w:p>
    <w:p w14:paraId="2E2E0D31">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S</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oMath>
      <w:r>
        <w:rPr>
          <w:color w:val="auto"/>
          <w:lang w:eastAsia="zh-CN"/>
        </w:rPr>
        <w:t xml:space="preserve"> ——荷载组合的效应设计值；</w:t>
      </w:r>
    </w:p>
    <w:p w14:paraId="56F0DC42">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R</m:t>
            </m:r>
            <m:ctrlPr>
              <w:rPr>
                <w:rFonts w:ascii="Cambria Math" w:hAnsi="Cambria Math"/>
                <w:color w:val="auto"/>
              </w:rPr>
            </m:ctrlPr>
          </m:e>
          <m:sub>
            <m:r>
              <m:rPr>
                <m:sty m:val="p"/>
              </m:rPr>
              <w:rPr>
                <w:rFonts w:hint="eastAsia" w:ascii="Cambria Math" w:hAnsi="Cambria Math"/>
                <w:color w:val="auto"/>
                <w:lang w:eastAsia="zh-CN"/>
              </w:rPr>
              <m:t>d</m:t>
            </m:r>
            <m:ctrlPr>
              <w:rPr>
                <w:rFonts w:ascii="Cambria Math" w:hAnsi="Cambria Math"/>
                <w:color w:val="auto"/>
              </w:rPr>
            </m:ctrlPr>
          </m:sub>
        </m:sSub>
      </m:oMath>
      <w:r>
        <w:rPr>
          <w:color w:val="auto"/>
          <w:lang w:eastAsia="zh-CN"/>
        </w:rPr>
        <w:t xml:space="preserve"> ——结构构件承载力的设计值。</w:t>
      </w:r>
    </w:p>
    <w:p w14:paraId="4F7DE58E">
      <w:pPr>
        <w:pStyle w:val="29"/>
        <w:bidi w:val="0"/>
        <w:rPr>
          <w:color w:val="auto"/>
          <w:lang w:eastAsia="zh-CN"/>
        </w:rPr>
      </w:pPr>
      <w:r>
        <w:rPr>
          <w:rFonts w:hint="eastAsia"/>
          <w:b/>
          <w:bCs/>
          <w:color w:val="auto"/>
          <w:lang w:val="en-US" w:eastAsia="zh-CN"/>
        </w:rPr>
        <w:t>6. 7. 5</w:t>
      </w:r>
      <w:r>
        <w:rPr>
          <w:rFonts w:hint="eastAsia"/>
          <w:color w:val="auto"/>
        </w:rPr>
        <w:t>　</w:t>
      </w:r>
      <w:r>
        <w:rPr>
          <w:rFonts w:hint="eastAsia"/>
          <w:color w:val="auto"/>
          <w:lang w:eastAsia="zh-CN"/>
        </w:rPr>
        <w:t>非抗震设计时，</w:t>
      </w:r>
      <w:r>
        <w:rPr>
          <w:color w:val="auto"/>
          <w:lang w:eastAsia="zh-CN"/>
        </w:rPr>
        <w:t>承载能力极限状态下，荷载基本组合的效应设计值应按下式确定：</w:t>
      </w:r>
    </w:p>
    <w:p w14:paraId="4598BAAA">
      <w:pPr>
        <w:pStyle w:val="29"/>
        <w:bidi w:val="0"/>
        <w:ind w:firstLine="560" w:firstLineChars="200"/>
        <w:rPr>
          <w:rFonts w:hint="eastAsia" w:eastAsia="宋体"/>
          <w:color w:val="auto"/>
          <w:lang w:eastAsia="zh-CN"/>
        </w:rPr>
      </w:pPr>
      <m:oMath>
        <m:sSub>
          <m:sSubPr>
            <m:ctrlPr>
              <w:rPr>
                <w:rFonts w:ascii="Cambria Math" w:hAnsi="Cambria Math"/>
                <w:color w:val="auto"/>
              </w:rPr>
            </m:ctrlPr>
          </m:sSubPr>
          <m:e>
            <m:r>
              <m:rPr>
                <m:sty m:val="p"/>
              </m:rPr>
              <w:rPr>
                <w:rFonts w:ascii="Cambria Math" w:hAnsi="Cambria Math"/>
                <w:color w:val="auto"/>
              </w:rPr>
              <m:t>S</m:t>
            </m:r>
            <m:ctrlPr>
              <w:rPr>
                <w:rFonts w:ascii="Cambria Math" w:hAnsi="Cambria Math"/>
                <w:color w:val="auto"/>
              </w:rPr>
            </m:ctrlPr>
          </m:e>
          <m:sub>
            <m:r>
              <m:rPr>
                <m:sty m:val="p"/>
              </m:rPr>
              <w:rPr>
                <w:rFonts w:hint="eastAsia" w:ascii="Cambria Math" w:hAnsi="Cambria Math"/>
                <w:color w:val="auto"/>
              </w:rPr>
              <m:t>d</m:t>
            </m:r>
            <m:ctrlPr>
              <w:rPr>
                <w:rFonts w:ascii="Cambria Math" w:hAnsi="Cambria Math"/>
                <w:color w:val="auto"/>
              </w:rPr>
            </m:ctrlPr>
          </m:sub>
        </m:sSub>
        <m:r>
          <m:rPr>
            <m:sty m:val="p"/>
          </m:rPr>
          <w:rPr>
            <w:rFonts w:ascii="Cambria Math" w:hAnsi="Cambria Math"/>
            <w:color w:val="auto"/>
          </w:rPr>
          <m:t>≤S(</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G</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G</m:t>
            </m:r>
            <m:ctrlPr>
              <w:rPr>
                <w:rFonts w:ascii="Cambria Math" w:hAnsi="Cambria Math"/>
                <w:color w:val="auto"/>
              </w:rPr>
            </m:ctrlPr>
          </m:e>
          <m:sub>
            <m:r>
              <m:rPr>
                <m:sty m:val="p"/>
              </m:rPr>
              <w:rPr>
                <w:rFonts w:ascii="Cambria Math" w:hAnsi="Cambria Math"/>
                <w:color w:val="auto"/>
              </w:rPr>
              <m:t>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P</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P</m:t>
            </m:r>
            <m:ctrlPr>
              <w:rPr>
                <w:rFonts w:ascii="Cambria Math" w:hAnsi="Cambria Math"/>
                <w:color w:val="auto"/>
              </w:rPr>
            </m:ctrlPr>
          </m:e>
          <m:sub>
            <m:r>
              <m:rPr>
                <m:sty m:val="p"/>
              </m:rPr>
              <w:rPr>
                <w:rFonts w:ascii="Cambria Math" w:hAnsi="Cambria Math"/>
                <w:color w:val="auto"/>
              </w:rPr>
              <m:t>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W</m:t>
            </m:r>
            <m:ctrlPr>
              <w:rPr>
                <w:rFonts w:ascii="Cambria Math" w:hAnsi="Cambria Math"/>
                <w:color w:val="auto"/>
              </w:rPr>
            </m:ctrlPr>
          </m:sub>
        </m:sSub>
        <w:bookmarkStart w:id="73" w:name="OLE_LINK8"/>
        <m:sSub>
          <m:sSubPr>
            <m:ctrlPr>
              <w:rPr>
                <w:rFonts w:ascii="Cambria Math" w:hAnsi="Cambria Math"/>
                <w:color w:val="auto"/>
              </w:rPr>
            </m:ctrlPr>
          </m:sSubPr>
          <m:e>
            <m:r>
              <m:rPr>
                <m:sty m:val="p"/>
              </m:rPr>
              <w:rPr>
                <w:rFonts w:ascii="Cambria Math" w:hAnsi="Cambria Math"/>
                <w:color w:val="auto"/>
              </w:rPr>
              <m:t>ψ</m:t>
            </m:r>
            <w:bookmarkEnd w:id="73"/>
            <m:ctrlPr>
              <w:rPr>
                <w:rFonts w:ascii="Cambria Math" w:hAnsi="Cambria Math"/>
                <w:color w:val="auto"/>
              </w:rPr>
            </m:ctrlPr>
          </m:e>
          <m:sub>
            <m:r>
              <m:rPr>
                <m:sty m:val="p"/>
              </m:rPr>
              <w:rPr>
                <w:rFonts w:ascii="Cambria Math" w:hAnsi="Cambria Math"/>
                <w:color w:val="auto"/>
              </w:rPr>
              <m:t>W</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WK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S</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ψ</m:t>
            </m:r>
            <m:ctrlPr>
              <w:rPr>
                <w:rFonts w:ascii="Cambria Math" w:hAnsi="Cambria Math"/>
                <w:color w:val="auto"/>
              </w:rPr>
            </m:ctrlPr>
          </m:e>
          <m:sub>
            <m:r>
              <m:rPr>
                <m:sty m:val="p"/>
              </m:rPr>
              <w:rPr>
                <w:rFonts w:ascii="Cambria Math" w:hAnsi="Cambria Math"/>
                <w:color w:val="auto"/>
              </w:rPr>
              <m:t>S</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SK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M</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ψ</m:t>
            </m:r>
            <m:ctrlPr>
              <w:rPr>
                <w:rFonts w:ascii="Cambria Math" w:hAnsi="Cambria Math"/>
                <w:color w:val="auto"/>
              </w:rPr>
            </m:ctrlPr>
          </m:e>
          <m:sub>
            <m:r>
              <m:rPr>
                <m:sty m:val="p"/>
              </m:rPr>
              <w:rPr>
                <w:rFonts w:ascii="Cambria Math" w:hAnsi="Cambria Math"/>
                <w:color w:val="auto"/>
              </w:rPr>
              <m:t>M</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MK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t</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ψ</m:t>
            </m:r>
            <m:ctrlPr>
              <w:rPr>
                <w:rFonts w:ascii="Cambria Math" w:hAnsi="Cambria Math"/>
                <w:color w:val="auto"/>
              </w:rPr>
            </m:ctrlPr>
          </m:e>
          <m:sub>
            <m:r>
              <m:rPr>
                <m:sty m:val="p"/>
              </m:rPr>
              <w:rPr>
                <w:rFonts w:ascii="Cambria Math" w:hAnsi="Cambria Math"/>
                <w:color w:val="auto"/>
              </w:rPr>
              <m:t>t</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tK</m:t>
            </m:r>
            <m:ctrlPr>
              <w:rPr>
                <w:rFonts w:ascii="Cambria Math" w:hAnsi="Cambria Math"/>
                <w:color w:val="auto"/>
              </w:rPr>
            </m:ctrlPr>
          </m:sub>
        </m:sSub>
        <m:r>
          <m:rPr>
            <m:sty m:val="p"/>
          </m:rPr>
          <w:rPr>
            <w:rFonts w:ascii="Cambria Math" w:hAnsi="Cambria Math"/>
            <w:color w:val="auto"/>
          </w:rPr>
          <m:t>)</m:t>
        </m:r>
      </m:oMath>
      <w:r>
        <w:rPr>
          <w:color w:val="auto"/>
        </w:rPr>
        <w:t xml:space="preserve">   </w:t>
      </w:r>
      <w:r>
        <w:rPr>
          <w:rFonts w:hint="eastAsia"/>
          <w:b/>
          <w:bCs/>
          <w:color w:val="auto"/>
          <w:lang w:eastAsia="zh-CN"/>
        </w:rPr>
        <w:t>（</w:t>
      </w:r>
      <w:r>
        <w:rPr>
          <w:b/>
          <w:bCs/>
          <w:color w:val="auto"/>
        </w:rPr>
        <w:t>6.</w:t>
      </w:r>
      <w:r>
        <w:rPr>
          <w:rFonts w:hint="eastAsia"/>
          <w:b/>
          <w:bCs/>
          <w:color w:val="auto"/>
          <w:lang w:val="en-US" w:eastAsia="zh-CN"/>
        </w:rPr>
        <w:t xml:space="preserve"> </w:t>
      </w:r>
      <w:r>
        <w:rPr>
          <w:b/>
          <w:bCs/>
          <w:color w:val="auto"/>
        </w:rPr>
        <w:t>7.</w:t>
      </w:r>
      <w:r>
        <w:rPr>
          <w:rFonts w:hint="eastAsia"/>
          <w:b/>
          <w:bCs/>
          <w:color w:val="auto"/>
          <w:lang w:val="en-US" w:eastAsia="zh-CN"/>
        </w:rPr>
        <w:t xml:space="preserve"> </w:t>
      </w:r>
      <w:r>
        <w:rPr>
          <w:b/>
          <w:bCs/>
          <w:color w:val="auto"/>
        </w:rPr>
        <w:t>5</w:t>
      </w:r>
      <w:r>
        <w:rPr>
          <w:rFonts w:hint="eastAsia"/>
          <w:b/>
          <w:bCs/>
          <w:color w:val="auto"/>
          <w:lang w:eastAsia="zh-CN"/>
        </w:rPr>
        <w:t>）</w:t>
      </w:r>
    </w:p>
    <w:p w14:paraId="093865F0">
      <w:pPr>
        <w:pStyle w:val="29"/>
        <w:bidi w:val="0"/>
        <w:ind w:firstLine="560" w:firstLineChars="200"/>
        <w:rPr>
          <w:color w:val="auto"/>
          <w:lang w:eastAsia="zh-CN"/>
        </w:rPr>
      </w:pPr>
      <w:r>
        <w:rPr>
          <w:color w:val="auto"/>
          <w:lang w:eastAsia="zh-CN"/>
        </w:rPr>
        <w:t>式中：</w:t>
      </w:r>
      <w:bookmarkStart w:id="74" w:name="OLE_LINK2"/>
      <w:bookmarkStart w:id="75" w:name="OLE_LINK3"/>
    </w:p>
    <w:p w14:paraId="7BD5F569">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G</m:t>
            </m:r>
            <m:ctrlPr>
              <w:rPr>
                <w:rFonts w:ascii="Cambria Math" w:hAnsi="Cambria Math"/>
                <w:color w:val="auto"/>
              </w:rPr>
            </m:ctrlPr>
          </m:e>
          <m:sub>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——永久荷载作用标准值；</w:t>
      </w:r>
      <w:bookmarkEnd w:id="74"/>
      <w:bookmarkEnd w:id="75"/>
    </w:p>
    <w:p w14:paraId="538B5DC7">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P</m:t>
            </m:r>
            <m:ctrlPr>
              <w:rPr>
                <w:rFonts w:ascii="Cambria Math" w:hAnsi="Cambria Math"/>
                <w:color w:val="auto"/>
              </w:rPr>
            </m:ctrlPr>
          </m:e>
          <m:sub>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w:t>
      </w:r>
      <w:r>
        <w:rPr>
          <w:rFonts w:hint="eastAsia"/>
          <w:color w:val="auto"/>
          <w:lang w:eastAsia="zh-CN"/>
        </w:rPr>
        <w:t>预应力</w:t>
      </w:r>
      <w:r>
        <w:rPr>
          <w:color w:val="auto"/>
          <w:lang w:eastAsia="zh-CN"/>
        </w:rPr>
        <w:t>作用标准值；</w:t>
      </w:r>
    </w:p>
    <w:p w14:paraId="09AB4848">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WK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W</m:t>
            </m:r>
            <m:ctrlPr>
              <w:rPr>
                <w:rFonts w:ascii="Cambria Math" w:hAnsi="Cambria Math"/>
                <w:color w:val="auto"/>
              </w:rPr>
            </m:ctrlPr>
          </m:sub>
        </m:sSub>
      </m:oMath>
      <w:r>
        <w:rPr>
          <w:color w:val="auto"/>
          <w:lang w:eastAsia="zh-CN"/>
        </w:rPr>
        <w:t xml:space="preserve"> ——风荷载作用标准值和其组合值系数；</w:t>
      </w:r>
    </w:p>
    <w:p w14:paraId="1E962A5F">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SK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S</m:t>
            </m:r>
            <m:ctrlPr>
              <w:rPr>
                <w:rFonts w:ascii="Cambria Math" w:hAnsi="Cambria Math"/>
                <w:color w:val="auto"/>
              </w:rPr>
            </m:ctrlPr>
          </m:sub>
        </m:sSub>
      </m:oMath>
      <w:r>
        <w:rPr>
          <w:color w:val="auto"/>
          <w:lang w:eastAsia="zh-CN"/>
        </w:rPr>
        <w:t>——雪荷载作用标准值和其组合值系数；</w:t>
      </w:r>
    </w:p>
    <w:p w14:paraId="34975365">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MK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M</m:t>
            </m:r>
            <m:ctrlPr>
              <w:rPr>
                <w:rFonts w:ascii="Cambria Math" w:hAnsi="Cambria Math"/>
                <w:color w:val="auto"/>
              </w:rPr>
            </m:ctrlPr>
          </m:sub>
        </m:sSub>
      </m:oMath>
      <w:r>
        <w:rPr>
          <w:color w:val="auto"/>
          <w:lang w:eastAsia="zh-CN"/>
        </w:rPr>
        <w:t>——施工检修荷载作用标准值和其组合值系数</w:t>
      </w:r>
      <w:r>
        <w:rPr>
          <w:rFonts w:hint="eastAsia"/>
          <w:color w:val="auto"/>
          <w:lang w:eastAsia="zh-CN"/>
        </w:rPr>
        <w:t>；</w:t>
      </w:r>
    </w:p>
    <w:p w14:paraId="4109642D">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tK</m:t>
            </m:r>
            <m:ctrlPr>
              <w:rPr>
                <w:rFonts w:ascii="Cambria Math" w:hAnsi="Cambria Math"/>
                <w:color w:val="auto"/>
              </w:rPr>
            </m:ctrlPr>
          </m:sub>
        </m:sSub>
      </m:oMath>
      <w:r>
        <w:rPr>
          <w:color w:val="auto"/>
          <w:lang w:eastAsia="zh-CN"/>
        </w:rPr>
        <w:t>、</w:t>
      </w:r>
      <m:oMath>
        <m:sSub>
          <m:sSubPr>
            <m:ctrlPr>
              <w:rPr>
                <w:rFonts w:ascii="Cambria Math" w:hAnsi="Cambria Math"/>
                <w:color w:val="auto"/>
              </w:rPr>
            </m:ctrlPr>
          </m:sSubPr>
          <m:e>
            <m:r>
              <m:rPr>
                <m:sty m:val="p"/>
              </m:rPr>
              <w:rPr>
                <w:rFonts w:ascii="Cambria Math" w:hAnsi="Cambria Math"/>
                <w:color w:val="auto"/>
                <w:lang w:eastAsia="zh-CN"/>
              </w:rPr>
              <m:t>ψ</m:t>
            </m:r>
            <m:ctrlPr>
              <w:rPr>
                <w:rFonts w:ascii="Cambria Math" w:hAnsi="Cambria Math"/>
                <w:color w:val="auto"/>
              </w:rPr>
            </m:ctrlPr>
          </m:e>
          <m:sub>
            <m:r>
              <m:rPr>
                <m:sty m:val="p"/>
              </m:rPr>
              <w:rPr>
                <w:rFonts w:ascii="Cambria Math" w:hAnsi="Cambria Math"/>
                <w:color w:val="auto"/>
                <w:lang w:eastAsia="zh-CN"/>
              </w:rPr>
              <m:t>t</m:t>
            </m:r>
            <m:ctrlPr>
              <w:rPr>
                <w:rFonts w:ascii="Cambria Math" w:hAnsi="Cambria Math"/>
                <w:color w:val="auto"/>
              </w:rPr>
            </m:ctrlPr>
          </m:sub>
        </m:sSub>
      </m:oMath>
      <w:r>
        <w:rPr>
          <w:color w:val="auto"/>
          <w:lang w:eastAsia="zh-CN"/>
        </w:rPr>
        <w:t>——</w:t>
      </w:r>
      <w:r>
        <w:rPr>
          <w:rFonts w:hint="eastAsia"/>
          <w:color w:val="auto"/>
          <w:lang w:eastAsia="zh-CN"/>
        </w:rPr>
        <w:t>温度作用</w:t>
      </w:r>
      <w:r>
        <w:rPr>
          <w:color w:val="auto"/>
          <w:lang w:eastAsia="zh-CN"/>
        </w:rPr>
        <w:t>作用标准值和其组合值系数。</w:t>
      </w:r>
    </w:p>
    <w:p w14:paraId="4F4C3C31">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G</m:t>
            </m:r>
            <m:ctrlPr>
              <w:rPr>
                <w:rFonts w:ascii="Cambria Math" w:hAnsi="Cambria Math"/>
                <w:color w:val="auto"/>
              </w:rPr>
            </m:ctrlPr>
          </m:sub>
        </m:sSub>
      </m:oMath>
      <w:r>
        <w:rPr>
          <w:color w:val="auto"/>
          <w:lang w:eastAsia="zh-CN"/>
        </w:rPr>
        <w:t xml:space="preserve"> ——永久荷载作用的分项系数，一般情况下应取1.3，当永久荷载对结构有利时，不应大于1.0；</w:t>
      </w:r>
    </w:p>
    <w:p w14:paraId="788569B5">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P</m:t>
            </m:r>
            <m:ctrlPr>
              <w:rPr>
                <w:rFonts w:ascii="Cambria Math" w:hAnsi="Cambria Math"/>
                <w:color w:val="auto"/>
              </w:rPr>
            </m:ctrlPr>
          </m:sub>
        </m:sSub>
      </m:oMath>
      <w:r>
        <w:rPr>
          <w:color w:val="auto"/>
          <w:lang w:eastAsia="zh-CN"/>
        </w:rPr>
        <w:t xml:space="preserve"> ——</w:t>
      </w:r>
      <w:r>
        <w:rPr>
          <w:rFonts w:hint="eastAsia"/>
          <w:color w:val="auto"/>
          <w:lang w:eastAsia="zh-CN"/>
        </w:rPr>
        <w:t>预应力</w:t>
      </w:r>
      <w:r>
        <w:rPr>
          <w:color w:val="auto"/>
          <w:lang w:eastAsia="zh-CN"/>
        </w:rPr>
        <w:t>作用的分项系数，</w:t>
      </w:r>
      <w:r>
        <w:rPr>
          <w:rFonts w:hint="eastAsia"/>
          <w:color w:val="auto"/>
          <w:lang w:eastAsia="zh-CN"/>
        </w:rPr>
        <w:t>对结构不利时</w:t>
      </w:r>
      <w:r>
        <w:rPr>
          <w:color w:val="auto"/>
          <w:lang w:eastAsia="zh-CN"/>
        </w:rPr>
        <w:t>应取1.3，对结构有利时，不应大于1.0；</w:t>
      </w:r>
    </w:p>
    <w:p w14:paraId="0A92DAB8">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W</m:t>
            </m:r>
            <m:ctrlPr>
              <w:rPr>
                <w:rFonts w:ascii="Cambria Math" w:hAnsi="Cambria Math"/>
                <w:color w:val="auto"/>
              </w:rPr>
            </m:ctrlPr>
          </m:sub>
        </m:sSub>
        <m:r>
          <m:rPr>
            <m:sty m:val="p"/>
          </m:rPr>
          <w:rPr>
            <w:rFonts w:ascii="Cambria Math" w:hAnsi="Cambria Math"/>
            <w:color w:val="auto"/>
            <w:lang w:eastAsia="zh-CN"/>
          </w:rPr>
          <m:t>——</m:t>
        </m:r>
      </m:oMath>
      <w:r>
        <w:rPr>
          <w:color w:val="auto"/>
          <w:lang w:eastAsia="zh-CN"/>
        </w:rPr>
        <w:t>风荷载作用的分项系数，应取1.5；</w:t>
      </w:r>
    </w:p>
    <w:p w14:paraId="633485C5">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S</m:t>
            </m:r>
            <m:ctrlPr>
              <w:rPr>
                <w:rFonts w:ascii="Cambria Math" w:hAnsi="Cambria Math"/>
                <w:color w:val="auto"/>
              </w:rPr>
            </m:ctrlPr>
          </m:sub>
        </m:sSub>
      </m:oMath>
      <w:r>
        <w:rPr>
          <w:color w:val="auto"/>
          <w:lang w:eastAsia="zh-CN"/>
        </w:rPr>
        <w:t>—— 雪荷载作用的分项系数，应取1.5；</w:t>
      </w:r>
    </w:p>
    <w:p w14:paraId="01586445">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M</m:t>
            </m:r>
            <m:ctrlPr>
              <w:rPr>
                <w:rFonts w:ascii="Cambria Math" w:hAnsi="Cambria Math"/>
                <w:color w:val="auto"/>
              </w:rPr>
            </m:ctrlPr>
          </m:sub>
        </m:sSub>
      </m:oMath>
      <w:r>
        <w:rPr>
          <w:color w:val="auto"/>
          <w:lang w:eastAsia="zh-CN"/>
        </w:rPr>
        <w:t xml:space="preserve"> ——施工检修荷载作用的分项系数，应取1.5；</w:t>
      </w:r>
    </w:p>
    <w:p w14:paraId="5A120E4C">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t</m:t>
            </m:r>
            <m:ctrlPr>
              <w:rPr>
                <w:rFonts w:ascii="Cambria Math" w:hAnsi="Cambria Math"/>
                <w:color w:val="auto"/>
              </w:rPr>
            </m:ctrlPr>
          </m:sub>
        </m:sSub>
      </m:oMath>
      <w:r>
        <w:rPr>
          <w:color w:val="auto"/>
          <w:lang w:eastAsia="zh-CN"/>
        </w:rPr>
        <w:t>——</w:t>
      </w:r>
      <w:r>
        <w:rPr>
          <w:rFonts w:hint="eastAsia"/>
          <w:color w:val="auto"/>
          <w:lang w:eastAsia="zh-CN"/>
        </w:rPr>
        <w:t>温度作用</w:t>
      </w:r>
      <w:r>
        <w:rPr>
          <w:color w:val="auto"/>
          <w:lang w:eastAsia="zh-CN"/>
        </w:rPr>
        <w:t>作用的分项系数，应取1.5。</w:t>
      </w:r>
    </w:p>
    <w:p w14:paraId="70FD7F49">
      <w:pPr>
        <w:pStyle w:val="29"/>
        <w:bidi w:val="0"/>
        <w:rPr>
          <w:color w:val="auto"/>
          <w:lang w:eastAsia="zh-CN"/>
        </w:rPr>
      </w:pPr>
      <w:r>
        <w:rPr>
          <w:rFonts w:hint="eastAsia"/>
          <w:b/>
          <w:bCs/>
          <w:color w:val="auto"/>
          <w:lang w:val="en-US" w:eastAsia="zh-CN"/>
        </w:rPr>
        <w:t>6. 7. 6</w:t>
      </w:r>
      <w:r>
        <w:rPr>
          <w:rFonts w:hint="eastAsia"/>
          <w:color w:val="auto"/>
        </w:rPr>
        <w:t>　</w:t>
      </w:r>
      <w:r>
        <w:rPr>
          <w:rFonts w:hint="eastAsia"/>
          <w:color w:val="auto"/>
          <w:lang w:eastAsia="zh-CN"/>
        </w:rPr>
        <w:t>非抗震设计时，</w:t>
      </w:r>
      <w:r>
        <w:rPr>
          <w:color w:val="auto"/>
          <w:lang w:eastAsia="zh-CN"/>
        </w:rPr>
        <w:t>各种组合工况下的可变荷载组合值系数应符合表</w:t>
      </w:r>
      <w:r>
        <w:rPr>
          <w:b/>
          <w:bCs/>
          <w:color w:val="auto"/>
          <w:lang w:eastAsia="zh-CN"/>
        </w:rPr>
        <w:t>6.</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w:t>
      </w:r>
      <w:r>
        <w:rPr>
          <w:b/>
          <w:bCs/>
          <w:color w:val="auto"/>
          <w:lang w:eastAsia="zh-CN"/>
        </w:rPr>
        <w:t>6</w:t>
      </w:r>
      <w:r>
        <w:rPr>
          <w:color w:val="auto"/>
          <w:lang w:eastAsia="zh-CN"/>
        </w:rPr>
        <w:t>的规定。</w:t>
      </w:r>
    </w:p>
    <w:p w14:paraId="37DB6393">
      <w:pPr>
        <w:pStyle w:val="27"/>
        <w:pageBreakBefore w:val="0"/>
        <w:widowControl w:val="0"/>
        <w:topLinePunct w:val="0"/>
        <w:bidi w:val="0"/>
        <w:spacing w:line="240" w:lineRule="auto"/>
        <w:ind w:firstLine="0" w:firstLineChars="0"/>
        <w:jc w:val="center"/>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t>表</w:t>
      </w:r>
      <w:r>
        <w:rPr>
          <w:rFonts w:hint="default" w:ascii="Times New Roman" w:hAnsi="Times New Roman" w:eastAsia="黑体" w:cs="Times New Roman"/>
          <w:b/>
          <w:bCs/>
          <w:color w:val="auto"/>
          <w:sz w:val="28"/>
          <w:szCs w:val="28"/>
          <w:highlight w:val="none"/>
          <w:lang w:eastAsia="zh-CN"/>
        </w:rPr>
        <w:t>6.</w:t>
      </w:r>
      <w:r>
        <w:rPr>
          <w:rFonts w:hint="default" w:ascii="Times New Roman" w:hAnsi="Times New Roman"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lang w:eastAsia="zh-CN"/>
        </w:rPr>
        <w:t>7.</w:t>
      </w:r>
      <w:r>
        <w:rPr>
          <w:rFonts w:hint="default" w:ascii="Times New Roman" w:hAnsi="Times New Roman"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lang w:eastAsia="zh-CN"/>
        </w:rPr>
        <w:t>6</w:t>
      </w:r>
      <w:r>
        <w:rPr>
          <w:rFonts w:hint="eastAsia" w:ascii="黑体" w:hAnsi="黑体" w:eastAsia="黑体" w:cs="黑体"/>
          <w:b w:val="0"/>
          <w:bCs w:val="0"/>
          <w:color w:val="auto"/>
          <w:sz w:val="28"/>
          <w:szCs w:val="28"/>
          <w:highlight w:val="none"/>
          <w:lang w:eastAsia="zh-CN"/>
        </w:rPr>
        <w:t xml:space="preserve"> </w:t>
      </w:r>
      <w:r>
        <w:rPr>
          <w:rFonts w:hint="eastAsia" w:ascii="黑体" w:hAnsi="黑体" w:eastAsia="黑体" w:cs="黑体"/>
          <w:b w:val="0"/>
          <w:bCs w:val="0"/>
          <w:color w:val="auto"/>
          <w:sz w:val="28"/>
          <w:szCs w:val="28"/>
        </w:rPr>
        <w:t>　</w:t>
      </w:r>
      <w:r>
        <w:rPr>
          <w:rFonts w:hint="eastAsia" w:ascii="黑体" w:hAnsi="黑体" w:eastAsia="黑体" w:cs="黑体"/>
          <w:b w:val="0"/>
          <w:bCs w:val="0"/>
          <w:color w:val="auto"/>
          <w:sz w:val="28"/>
          <w:szCs w:val="28"/>
          <w:highlight w:val="none"/>
          <w:lang w:eastAsia="zh-CN"/>
        </w:rPr>
        <w:t>各种组合工况下的可变荷载组合值系数</w:t>
      </w:r>
    </w:p>
    <w:tbl>
      <w:tblPr>
        <w:tblStyle w:val="20"/>
        <w:tblW w:w="89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75"/>
        <w:gridCol w:w="1170"/>
        <w:gridCol w:w="1170"/>
        <w:gridCol w:w="1170"/>
        <w:gridCol w:w="1172"/>
      </w:tblGrid>
      <w:tr w14:paraId="37F91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86" w:type="pct"/>
            <w:tcBorders>
              <w:top w:val="single" w:color="auto" w:sz="4" w:space="0"/>
              <w:left w:val="single" w:color="auto" w:sz="4" w:space="0"/>
              <w:tl2br w:val="nil"/>
              <w:tr2bl w:val="nil"/>
            </w:tcBorders>
          </w:tcPr>
          <w:p w14:paraId="0EEDAFFA">
            <w:pPr>
              <w:pStyle w:val="26"/>
              <w:pageBreakBefore w:val="0"/>
              <w:widowControl w:val="0"/>
              <w:topLinePunct w:val="0"/>
              <w:bidi w:val="0"/>
              <w:rPr>
                <w:color w:val="auto"/>
                <w:sz w:val="24"/>
                <w:szCs w:val="24"/>
                <w:highlight w:val="none"/>
              </w:rPr>
            </w:pPr>
            <w:r>
              <w:rPr>
                <w:rFonts w:hint="eastAsia"/>
                <w:color w:val="auto"/>
                <w:sz w:val="24"/>
                <w:szCs w:val="24"/>
                <w:highlight w:val="none"/>
              </w:rPr>
              <w:t>荷载作用组合工况</w:t>
            </w:r>
          </w:p>
        </w:tc>
        <w:tc>
          <w:tcPr>
            <w:tcW w:w="653" w:type="pct"/>
            <w:tcBorders>
              <w:top w:val="single" w:color="auto" w:sz="4" w:space="0"/>
              <w:tl2br w:val="nil"/>
              <w:tr2bl w:val="nil"/>
            </w:tcBorders>
          </w:tcPr>
          <w:p w14:paraId="72DF49E6">
            <w:pPr>
              <w:pStyle w:val="26"/>
              <w:pageBreakBefore w:val="0"/>
              <w:widowControl w:val="0"/>
              <w:topLinePunct w:val="0"/>
              <w:bidi w:val="0"/>
              <w:rPr>
                <w:color w:val="auto"/>
                <w:sz w:val="24"/>
                <w:szCs w:val="24"/>
                <w:highlight w:val="none"/>
              </w:rPr>
            </w:pPr>
            <m:oMathPara>
              <m:oMath>
                <m:sSub>
                  <m:sSubPr>
                    <m:ctrlPr>
                      <w:rPr>
                        <w:rFonts w:ascii="Cambria Math" w:hAnsi="Cambria Math"/>
                        <w:color w:val="auto"/>
                        <w:sz w:val="24"/>
                        <w:szCs w:val="24"/>
                        <w:highlight w:val="none"/>
                      </w:rPr>
                    </m:ctrlPr>
                  </m:sSubPr>
                  <m:e>
                    <m:r>
                      <m:rPr>
                        <m:sty m:val="p"/>
                      </m:rPr>
                      <w:rPr>
                        <w:color w:val="auto"/>
                        <w:sz w:val="24"/>
                        <w:szCs w:val="24"/>
                        <w:highlight w:val="none"/>
                      </w:rPr>
                      <m:t>φ</m:t>
                    </m:r>
                    <m:ctrlPr>
                      <w:rPr>
                        <w:rFonts w:ascii="Cambria Math" w:hAnsi="Cambria Math"/>
                        <w:color w:val="auto"/>
                        <w:sz w:val="24"/>
                        <w:szCs w:val="24"/>
                        <w:highlight w:val="none"/>
                      </w:rPr>
                    </m:ctrlPr>
                  </m:e>
                  <m:sub>
                    <m:r>
                      <m:rPr>
                        <m:sty m:val="p"/>
                      </m:rPr>
                      <w:rPr>
                        <w:color w:val="auto"/>
                        <w:sz w:val="24"/>
                        <w:szCs w:val="24"/>
                        <w:highlight w:val="none"/>
                      </w:rPr>
                      <m:t>W</m:t>
                    </m:r>
                    <m:ctrlPr>
                      <w:rPr>
                        <w:rFonts w:ascii="Cambria Math" w:hAnsi="Cambria Math"/>
                        <w:color w:val="auto"/>
                        <w:sz w:val="24"/>
                        <w:szCs w:val="24"/>
                        <w:highlight w:val="none"/>
                      </w:rPr>
                    </m:ctrlPr>
                  </m:sub>
                </m:sSub>
              </m:oMath>
            </m:oMathPara>
          </w:p>
        </w:tc>
        <w:tc>
          <w:tcPr>
            <w:tcW w:w="653" w:type="pct"/>
            <w:tcBorders>
              <w:top w:val="single" w:color="auto" w:sz="4" w:space="0"/>
              <w:tl2br w:val="nil"/>
              <w:tr2bl w:val="nil"/>
            </w:tcBorders>
          </w:tcPr>
          <w:p w14:paraId="56ADB1C4">
            <w:pPr>
              <w:pStyle w:val="26"/>
              <w:pageBreakBefore w:val="0"/>
              <w:widowControl w:val="0"/>
              <w:topLinePunct w:val="0"/>
              <w:bidi w:val="0"/>
              <w:rPr>
                <w:color w:val="auto"/>
                <w:sz w:val="24"/>
                <w:szCs w:val="24"/>
                <w:highlight w:val="none"/>
              </w:rPr>
            </w:pPr>
            <m:oMathPara>
              <m:oMath>
                <m:sSub>
                  <m:sSubPr>
                    <m:ctrlPr>
                      <w:rPr>
                        <w:rFonts w:ascii="Cambria Math" w:hAnsi="Cambria Math"/>
                        <w:color w:val="auto"/>
                        <w:sz w:val="24"/>
                        <w:szCs w:val="24"/>
                        <w:highlight w:val="none"/>
                      </w:rPr>
                    </m:ctrlPr>
                  </m:sSubPr>
                  <m:e>
                    <m:r>
                      <m:rPr>
                        <m:sty m:val="p"/>
                      </m:rPr>
                      <w:rPr>
                        <w:color w:val="auto"/>
                        <w:sz w:val="24"/>
                        <w:szCs w:val="24"/>
                        <w:highlight w:val="none"/>
                      </w:rPr>
                      <m:t>φ</m:t>
                    </m:r>
                    <m:ctrlPr>
                      <w:rPr>
                        <w:rFonts w:ascii="Cambria Math" w:hAnsi="Cambria Math"/>
                        <w:color w:val="auto"/>
                        <w:sz w:val="24"/>
                        <w:szCs w:val="24"/>
                        <w:highlight w:val="none"/>
                      </w:rPr>
                    </m:ctrlPr>
                  </m:e>
                  <m:sub>
                    <m:r>
                      <m:rPr>
                        <m:sty m:val="p"/>
                      </m:rPr>
                      <w:rPr>
                        <w:color w:val="auto"/>
                        <w:sz w:val="24"/>
                        <w:szCs w:val="24"/>
                        <w:highlight w:val="none"/>
                      </w:rPr>
                      <m:t>S</m:t>
                    </m:r>
                    <m:ctrlPr>
                      <w:rPr>
                        <w:rFonts w:ascii="Cambria Math" w:hAnsi="Cambria Math"/>
                        <w:color w:val="auto"/>
                        <w:sz w:val="24"/>
                        <w:szCs w:val="24"/>
                        <w:highlight w:val="none"/>
                      </w:rPr>
                    </m:ctrlPr>
                  </m:sub>
                </m:sSub>
              </m:oMath>
            </m:oMathPara>
          </w:p>
        </w:tc>
        <w:tc>
          <w:tcPr>
            <w:tcW w:w="653" w:type="pct"/>
            <w:tcBorders>
              <w:top w:val="single" w:color="auto" w:sz="4" w:space="0"/>
              <w:tl2br w:val="nil"/>
              <w:tr2bl w:val="nil"/>
            </w:tcBorders>
          </w:tcPr>
          <w:p w14:paraId="6AA6EB66">
            <w:pPr>
              <w:pStyle w:val="26"/>
              <w:pageBreakBefore w:val="0"/>
              <w:widowControl w:val="0"/>
              <w:topLinePunct w:val="0"/>
              <w:bidi w:val="0"/>
              <w:rPr>
                <w:color w:val="auto"/>
                <w:sz w:val="24"/>
                <w:szCs w:val="24"/>
                <w:highlight w:val="none"/>
              </w:rPr>
            </w:pPr>
            <m:oMathPara>
              <m:oMath>
                <m:sSub>
                  <m:sSubPr>
                    <m:ctrlPr>
                      <w:rPr>
                        <w:rFonts w:ascii="Cambria Math" w:hAnsi="Cambria Math"/>
                        <w:color w:val="auto"/>
                        <w:sz w:val="24"/>
                        <w:szCs w:val="24"/>
                        <w:highlight w:val="none"/>
                      </w:rPr>
                    </m:ctrlPr>
                  </m:sSubPr>
                  <m:e>
                    <m:r>
                      <m:rPr>
                        <m:sty m:val="p"/>
                      </m:rPr>
                      <w:rPr>
                        <w:color w:val="auto"/>
                        <w:sz w:val="24"/>
                        <w:szCs w:val="24"/>
                        <w:highlight w:val="none"/>
                      </w:rPr>
                      <m:t>φ</m:t>
                    </m:r>
                    <m:ctrlPr>
                      <w:rPr>
                        <w:rFonts w:ascii="Cambria Math" w:hAnsi="Cambria Math"/>
                        <w:color w:val="auto"/>
                        <w:sz w:val="24"/>
                        <w:szCs w:val="24"/>
                        <w:highlight w:val="none"/>
                      </w:rPr>
                    </m:ctrlPr>
                  </m:e>
                  <m:sub>
                    <m:r>
                      <m:rPr>
                        <m:sty m:val="p"/>
                      </m:rPr>
                      <w:rPr>
                        <w:color w:val="auto"/>
                        <w:sz w:val="24"/>
                        <w:szCs w:val="24"/>
                        <w:highlight w:val="none"/>
                      </w:rPr>
                      <m:t>M</m:t>
                    </m:r>
                    <m:ctrlPr>
                      <w:rPr>
                        <w:rFonts w:ascii="Cambria Math" w:hAnsi="Cambria Math"/>
                        <w:color w:val="auto"/>
                        <w:sz w:val="24"/>
                        <w:szCs w:val="24"/>
                        <w:highlight w:val="none"/>
                      </w:rPr>
                    </m:ctrlPr>
                  </m:sub>
                </m:sSub>
              </m:oMath>
            </m:oMathPara>
          </w:p>
        </w:tc>
        <w:tc>
          <w:tcPr>
            <w:tcW w:w="654" w:type="pct"/>
            <w:tcBorders>
              <w:top w:val="single" w:color="auto" w:sz="4" w:space="0"/>
              <w:right w:val="single" w:color="auto" w:sz="4" w:space="0"/>
              <w:tl2br w:val="nil"/>
              <w:tr2bl w:val="nil"/>
            </w:tcBorders>
          </w:tcPr>
          <w:p w14:paraId="2B20D7BA">
            <w:pPr>
              <w:pStyle w:val="26"/>
              <w:pageBreakBefore w:val="0"/>
              <w:widowControl w:val="0"/>
              <w:topLinePunct w:val="0"/>
              <w:bidi w:val="0"/>
              <w:rPr>
                <w:color w:val="auto"/>
                <w:sz w:val="24"/>
                <w:szCs w:val="24"/>
                <w:highlight w:val="none"/>
              </w:rPr>
            </w:pPr>
            <m:oMathPara>
              <m:oMath>
                <m:sSub>
                  <m:sSubPr>
                    <m:ctrlPr>
                      <w:rPr>
                        <w:rFonts w:ascii="Cambria Math" w:hAnsi="Cambria Math"/>
                        <w:color w:val="auto"/>
                        <w:sz w:val="24"/>
                        <w:szCs w:val="24"/>
                        <w:highlight w:val="none"/>
                      </w:rPr>
                    </m:ctrlPr>
                  </m:sSubPr>
                  <m:e>
                    <m:r>
                      <m:rPr>
                        <m:sty m:val="p"/>
                      </m:rPr>
                      <w:rPr>
                        <w:color w:val="auto"/>
                        <w:sz w:val="24"/>
                        <w:szCs w:val="24"/>
                        <w:highlight w:val="none"/>
                      </w:rPr>
                      <m:t>φ</m:t>
                    </m:r>
                    <m:ctrlPr>
                      <w:rPr>
                        <w:rFonts w:ascii="Cambria Math" w:hAnsi="Cambria Math"/>
                        <w:color w:val="auto"/>
                        <w:sz w:val="24"/>
                        <w:szCs w:val="24"/>
                        <w:highlight w:val="none"/>
                      </w:rPr>
                    </m:ctrlPr>
                  </m:e>
                  <m:sub>
                    <m:r>
                      <m:rPr>
                        <m:sty m:val="p"/>
                      </m:rPr>
                      <w:rPr>
                        <w:color w:val="auto"/>
                        <w:sz w:val="24"/>
                        <w:szCs w:val="24"/>
                        <w:highlight w:val="none"/>
                      </w:rPr>
                      <m:t>t</m:t>
                    </m:r>
                    <m:ctrlPr>
                      <w:rPr>
                        <w:rFonts w:ascii="Cambria Math" w:hAnsi="Cambria Math"/>
                        <w:color w:val="auto"/>
                        <w:sz w:val="24"/>
                        <w:szCs w:val="24"/>
                        <w:highlight w:val="none"/>
                      </w:rPr>
                    </m:ctrlPr>
                  </m:sub>
                </m:sSub>
              </m:oMath>
            </m:oMathPara>
          </w:p>
        </w:tc>
      </w:tr>
      <w:tr w14:paraId="24559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86" w:type="pct"/>
            <w:tcBorders>
              <w:left w:val="single" w:color="auto" w:sz="4" w:space="0"/>
              <w:tl2br w:val="nil"/>
              <w:tr2bl w:val="nil"/>
            </w:tcBorders>
          </w:tcPr>
          <w:p w14:paraId="5C2FA0BF">
            <w:pPr>
              <w:pStyle w:val="26"/>
              <w:pageBreakBefore w:val="0"/>
              <w:widowControl w:val="0"/>
              <w:topLinePunct w:val="0"/>
              <w:bidi w:val="0"/>
              <w:rPr>
                <w:rFonts w:hint="eastAsia" w:eastAsia="宋体"/>
                <w:color w:val="auto"/>
                <w:sz w:val="24"/>
                <w:szCs w:val="24"/>
                <w:highlight w:val="none"/>
                <w:lang w:eastAsia="zh-CN"/>
              </w:rPr>
            </w:pPr>
            <w:r>
              <w:rPr>
                <w:rFonts w:hint="eastAsia"/>
                <w:color w:val="auto"/>
                <w:sz w:val="24"/>
                <w:szCs w:val="24"/>
                <w:highlight w:val="none"/>
              </w:rPr>
              <w:t>永久荷载+负风荷载+</w:t>
            </w:r>
            <w:r>
              <w:rPr>
                <w:rFonts w:hint="eastAsia"/>
                <w:color w:val="auto"/>
                <w:sz w:val="24"/>
                <w:szCs w:val="24"/>
                <w:highlight w:val="none"/>
                <w:lang w:eastAsia="zh-CN"/>
              </w:rPr>
              <w:t>温度作用</w:t>
            </w:r>
          </w:p>
        </w:tc>
        <w:tc>
          <w:tcPr>
            <w:tcW w:w="653" w:type="pct"/>
            <w:tcBorders>
              <w:tl2br w:val="nil"/>
              <w:tr2bl w:val="nil"/>
            </w:tcBorders>
          </w:tcPr>
          <w:p w14:paraId="01F6822A">
            <w:pPr>
              <w:pStyle w:val="26"/>
              <w:pageBreakBefore w:val="0"/>
              <w:widowControl w:val="0"/>
              <w:topLinePunct w:val="0"/>
              <w:bidi w:val="0"/>
              <w:rPr>
                <w:color w:val="auto"/>
                <w:sz w:val="24"/>
                <w:szCs w:val="24"/>
                <w:highlight w:val="none"/>
              </w:rPr>
            </w:pPr>
            <w:r>
              <w:rPr>
                <w:rFonts w:hint="eastAsia"/>
                <w:color w:val="auto"/>
                <w:sz w:val="24"/>
                <w:szCs w:val="24"/>
                <w:highlight w:val="none"/>
              </w:rPr>
              <w:t>1.0</w:t>
            </w:r>
          </w:p>
        </w:tc>
        <w:tc>
          <w:tcPr>
            <w:tcW w:w="653" w:type="pct"/>
            <w:tcBorders>
              <w:tl2br w:val="nil"/>
              <w:tr2bl w:val="nil"/>
            </w:tcBorders>
          </w:tcPr>
          <w:p w14:paraId="4E9306B5">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3" w:type="pct"/>
            <w:tcBorders>
              <w:tl2br w:val="nil"/>
              <w:tr2bl w:val="nil"/>
            </w:tcBorders>
          </w:tcPr>
          <w:p w14:paraId="2BED203A">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4" w:type="pct"/>
            <w:tcBorders>
              <w:right w:val="single" w:color="auto" w:sz="4" w:space="0"/>
              <w:tl2br w:val="nil"/>
              <w:tr2bl w:val="nil"/>
            </w:tcBorders>
          </w:tcPr>
          <w:p w14:paraId="4A450CC8">
            <w:pPr>
              <w:pStyle w:val="26"/>
              <w:pageBreakBefore w:val="0"/>
              <w:widowControl w:val="0"/>
              <w:topLinePunct w:val="0"/>
              <w:bidi w:val="0"/>
              <w:rPr>
                <w:color w:val="auto"/>
                <w:sz w:val="24"/>
                <w:szCs w:val="24"/>
                <w:highlight w:val="none"/>
              </w:rPr>
            </w:pPr>
            <w:r>
              <w:rPr>
                <w:rFonts w:hint="eastAsia"/>
                <w:color w:val="auto"/>
                <w:sz w:val="24"/>
                <w:szCs w:val="24"/>
                <w:highlight w:val="none"/>
              </w:rPr>
              <w:t>0</w:t>
            </w:r>
            <w:r>
              <w:rPr>
                <w:color w:val="auto"/>
                <w:sz w:val="24"/>
                <w:szCs w:val="24"/>
                <w:highlight w:val="none"/>
              </w:rPr>
              <w:t>.6</w:t>
            </w:r>
          </w:p>
        </w:tc>
      </w:tr>
      <w:tr w14:paraId="6B5F7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86" w:type="pct"/>
            <w:tcBorders>
              <w:left w:val="single" w:color="auto" w:sz="4" w:space="0"/>
              <w:tl2br w:val="nil"/>
              <w:tr2bl w:val="nil"/>
            </w:tcBorders>
          </w:tcPr>
          <w:p w14:paraId="359B77F3">
            <w:pPr>
              <w:pStyle w:val="26"/>
              <w:pageBreakBefore w:val="0"/>
              <w:widowControl w:val="0"/>
              <w:topLinePunct w:val="0"/>
              <w:bidi w:val="0"/>
              <w:rPr>
                <w:rFonts w:hint="eastAsia" w:eastAsia="宋体"/>
                <w:color w:val="auto"/>
                <w:sz w:val="24"/>
                <w:szCs w:val="24"/>
                <w:highlight w:val="none"/>
                <w:lang w:eastAsia="zh-CN"/>
              </w:rPr>
            </w:pPr>
            <w:r>
              <w:rPr>
                <w:rFonts w:hint="eastAsia"/>
                <w:color w:val="auto"/>
                <w:sz w:val="24"/>
                <w:szCs w:val="24"/>
                <w:highlight w:val="none"/>
              </w:rPr>
              <w:t>永久荷载+正风荷载+雪荷载+</w:t>
            </w:r>
            <w:r>
              <w:rPr>
                <w:rFonts w:hint="eastAsia"/>
                <w:color w:val="auto"/>
                <w:sz w:val="24"/>
                <w:szCs w:val="24"/>
                <w:highlight w:val="none"/>
                <w:lang w:eastAsia="zh-CN"/>
              </w:rPr>
              <w:t>温度作用</w:t>
            </w:r>
          </w:p>
        </w:tc>
        <w:tc>
          <w:tcPr>
            <w:tcW w:w="653" w:type="pct"/>
            <w:tcBorders>
              <w:tl2br w:val="nil"/>
              <w:tr2bl w:val="nil"/>
            </w:tcBorders>
          </w:tcPr>
          <w:p w14:paraId="47F80BB4">
            <w:pPr>
              <w:pStyle w:val="26"/>
              <w:pageBreakBefore w:val="0"/>
              <w:widowControl w:val="0"/>
              <w:topLinePunct w:val="0"/>
              <w:bidi w:val="0"/>
              <w:rPr>
                <w:color w:val="auto"/>
                <w:sz w:val="24"/>
                <w:szCs w:val="24"/>
                <w:highlight w:val="none"/>
              </w:rPr>
            </w:pPr>
            <w:r>
              <w:rPr>
                <w:rFonts w:hint="eastAsia"/>
                <w:color w:val="auto"/>
                <w:sz w:val="24"/>
                <w:szCs w:val="24"/>
                <w:highlight w:val="none"/>
              </w:rPr>
              <w:t>1.0</w:t>
            </w:r>
          </w:p>
        </w:tc>
        <w:tc>
          <w:tcPr>
            <w:tcW w:w="653" w:type="pct"/>
            <w:tcBorders>
              <w:tl2br w:val="nil"/>
              <w:tr2bl w:val="nil"/>
            </w:tcBorders>
          </w:tcPr>
          <w:p w14:paraId="5FE38648">
            <w:pPr>
              <w:pStyle w:val="26"/>
              <w:pageBreakBefore w:val="0"/>
              <w:widowControl w:val="0"/>
              <w:topLinePunct w:val="0"/>
              <w:bidi w:val="0"/>
              <w:rPr>
                <w:color w:val="auto"/>
                <w:sz w:val="24"/>
                <w:szCs w:val="24"/>
                <w:highlight w:val="none"/>
              </w:rPr>
            </w:pPr>
            <w:r>
              <w:rPr>
                <w:rFonts w:hint="eastAsia"/>
                <w:color w:val="auto"/>
                <w:sz w:val="24"/>
                <w:szCs w:val="24"/>
                <w:highlight w:val="none"/>
              </w:rPr>
              <w:t>0.7</w:t>
            </w:r>
          </w:p>
        </w:tc>
        <w:tc>
          <w:tcPr>
            <w:tcW w:w="653" w:type="pct"/>
            <w:tcBorders>
              <w:tl2br w:val="nil"/>
              <w:tr2bl w:val="nil"/>
            </w:tcBorders>
          </w:tcPr>
          <w:p w14:paraId="37846567">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4" w:type="pct"/>
            <w:tcBorders>
              <w:right w:val="single" w:color="auto" w:sz="4" w:space="0"/>
              <w:tl2br w:val="nil"/>
              <w:tr2bl w:val="nil"/>
            </w:tcBorders>
          </w:tcPr>
          <w:p w14:paraId="7A7A337E">
            <w:pPr>
              <w:pStyle w:val="26"/>
              <w:pageBreakBefore w:val="0"/>
              <w:widowControl w:val="0"/>
              <w:topLinePunct w:val="0"/>
              <w:bidi w:val="0"/>
              <w:rPr>
                <w:color w:val="auto"/>
                <w:sz w:val="24"/>
                <w:szCs w:val="24"/>
                <w:highlight w:val="none"/>
              </w:rPr>
            </w:pPr>
            <w:r>
              <w:rPr>
                <w:rFonts w:hint="eastAsia"/>
                <w:color w:val="auto"/>
                <w:sz w:val="24"/>
                <w:szCs w:val="24"/>
                <w:highlight w:val="none"/>
              </w:rPr>
              <w:t>0</w:t>
            </w:r>
            <w:r>
              <w:rPr>
                <w:color w:val="auto"/>
                <w:sz w:val="24"/>
                <w:szCs w:val="24"/>
                <w:highlight w:val="none"/>
              </w:rPr>
              <w:t>.6</w:t>
            </w:r>
          </w:p>
        </w:tc>
      </w:tr>
      <w:tr w14:paraId="119FA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86" w:type="pct"/>
            <w:tcBorders>
              <w:left w:val="single" w:color="auto" w:sz="4" w:space="0"/>
              <w:tl2br w:val="nil"/>
              <w:tr2bl w:val="nil"/>
            </w:tcBorders>
          </w:tcPr>
          <w:p w14:paraId="6C31D044">
            <w:pPr>
              <w:pStyle w:val="26"/>
              <w:pageBreakBefore w:val="0"/>
              <w:widowControl w:val="0"/>
              <w:topLinePunct w:val="0"/>
              <w:bidi w:val="0"/>
              <w:rPr>
                <w:rFonts w:hint="eastAsia" w:eastAsia="宋体"/>
                <w:color w:val="auto"/>
                <w:sz w:val="24"/>
                <w:szCs w:val="24"/>
                <w:highlight w:val="none"/>
                <w:lang w:eastAsia="zh-CN"/>
              </w:rPr>
            </w:pPr>
            <w:r>
              <w:rPr>
                <w:rFonts w:hint="eastAsia"/>
                <w:color w:val="auto"/>
                <w:sz w:val="24"/>
                <w:szCs w:val="24"/>
                <w:highlight w:val="none"/>
              </w:rPr>
              <w:t>永久荷载+雪荷载+正风荷载+</w:t>
            </w:r>
            <w:r>
              <w:rPr>
                <w:rFonts w:hint="eastAsia"/>
                <w:color w:val="auto"/>
                <w:sz w:val="24"/>
                <w:szCs w:val="24"/>
                <w:highlight w:val="none"/>
                <w:lang w:eastAsia="zh-CN"/>
              </w:rPr>
              <w:t>温度作用</w:t>
            </w:r>
          </w:p>
        </w:tc>
        <w:tc>
          <w:tcPr>
            <w:tcW w:w="653" w:type="pct"/>
            <w:tcBorders>
              <w:tl2br w:val="nil"/>
              <w:tr2bl w:val="nil"/>
            </w:tcBorders>
          </w:tcPr>
          <w:p w14:paraId="6413EA5A">
            <w:pPr>
              <w:pStyle w:val="26"/>
              <w:pageBreakBefore w:val="0"/>
              <w:widowControl w:val="0"/>
              <w:topLinePunct w:val="0"/>
              <w:bidi w:val="0"/>
              <w:rPr>
                <w:color w:val="auto"/>
                <w:sz w:val="24"/>
                <w:szCs w:val="24"/>
                <w:highlight w:val="none"/>
              </w:rPr>
            </w:pPr>
            <w:r>
              <w:rPr>
                <w:rFonts w:hint="eastAsia"/>
                <w:color w:val="auto"/>
                <w:sz w:val="24"/>
                <w:szCs w:val="24"/>
                <w:highlight w:val="none"/>
              </w:rPr>
              <w:t>0.6</w:t>
            </w:r>
          </w:p>
        </w:tc>
        <w:tc>
          <w:tcPr>
            <w:tcW w:w="653" w:type="pct"/>
            <w:tcBorders>
              <w:tl2br w:val="nil"/>
              <w:tr2bl w:val="nil"/>
            </w:tcBorders>
          </w:tcPr>
          <w:p w14:paraId="61654069">
            <w:pPr>
              <w:pStyle w:val="26"/>
              <w:pageBreakBefore w:val="0"/>
              <w:widowControl w:val="0"/>
              <w:topLinePunct w:val="0"/>
              <w:bidi w:val="0"/>
              <w:rPr>
                <w:color w:val="auto"/>
                <w:sz w:val="24"/>
                <w:szCs w:val="24"/>
                <w:highlight w:val="none"/>
              </w:rPr>
            </w:pPr>
            <w:r>
              <w:rPr>
                <w:rFonts w:hint="eastAsia"/>
                <w:color w:val="auto"/>
                <w:sz w:val="24"/>
                <w:szCs w:val="24"/>
                <w:highlight w:val="none"/>
              </w:rPr>
              <w:t>1.0</w:t>
            </w:r>
          </w:p>
        </w:tc>
        <w:tc>
          <w:tcPr>
            <w:tcW w:w="653" w:type="pct"/>
            <w:tcBorders>
              <w:tl2br w:val="nil"/>
              <w:tr2bl w:val="nil"/>
            </w:tcBorders>
          </w:tcPr>
          <w:p w14:paraId="07C790A9">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4" w:type="pct"/>
            <w:tcBorders>
              <w:right w:val="single" w:color="auto" w:sz="4" w:space="0"/>
              <w:tl2br w:val="nil"/>
              <w:tr2bl w:val="nil"/>
            </w:tcBorders>
          </w:tcPr>
          <w:p w14:paraId="4031639D">
            <w:pPr>
              <w:pStyle w:val="26"/>
              <w:pageBreakBefore w:val="0"/>
              <w:widowControl w:val="0"/>
              <w:topLinePunct w:val="0"/>
              <w:bidi w:val="0"/>
              <w:rPr>
                <w:color w:val="auto"/>
                <w:sz w:val="24"/>
                <w:szCs w:val="24"/>
                <w:highlight w:val="none"/>
              </w:rPr>
            </w:pPr>
            <w:r>
              <w:rPr>
                <w:rFonts w:hint="eastAsia"/>
                <w:color w:val="auto"/>
                <w:sz w:val="24"/>
                <w:szCs w:val="24"/>
                <w:highlight w:val="none"/>
              </w:rPr>
              <w:t>0</w:t>
            </w:r>
            <w:r>
              <w:rPr>
                <w:color w:val="auto"/>
                <w:sz w:val="24"/>
                <w:szCs w:val="24"/>
                <w:highlight w:val="none"/>
              </w:rPr>
              <w:t>.6</w:t>
            </w:r>
          </w:p>
        </w:tc>
      </w:tr>
      <w:tr w14:paraId="11785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86" w:type="pct"/>
            <w:tcBorders>
              <w:left w:val="single" w:color="auto" w:sz="4" w:space="0"/>
              <w:bottom w:val="single" w:color="auto" w:sz="4" w:space="0"/>
              <w:tl2br w:val="nil"/>
              <w:tr2bl w:val="nil"/>
            </w:tcBorders>
          </w:tcPr>
          <w:p w14:paraId="4B1943AC">
            <w:pPr>
              <w:pStyle w:val="26"/>
              <w:pageBreakBefore w:val="0"/>
              <w:widowControl w:val="0"/>
              <w:topLinePunct w:val="0"/>
              <w:bidi w:val="0"/>
              <w:rPr>
                <w:color w:val="auto"/>
                <w:sz w:val="24"/>
                <w:szCs w:val="24"/>
                <w:highlight w:val="none"/>
              </w:rPr>
            </w:pPr>
            <w:r>
              <w:rPr>
                <w:rFonts w:hint="eastAsia"/>
                <w:color w:val="auto"/>
                <w:sz w:val="24"/>
                <w:szCs w:val="24"/>
                <w:highlight w:val="none"/>
              </w:rPr>
              <w:t>永久荷载+施工检修荷载</w:t>
            </w:r>
          </w:p>
        </w:tc>
        <w:tc>
          <w:tcPr>
            <w:tcW w:w="653" w:type="pct"/>
            <w:tcBorders>
              <w:bottom w:val="single" w:color="auto" w:sz="4" w:space="0"/>
              <w:tl2br w:val="nil"/>
              <w:tr2bl w:val="nil"/>
            </w:tcBorders>
          </w:tcPr>
          <w:p w14:paraId="71B24E47">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3" w:type="pct"/>
            <w:tcBorders>
              <w:bottom w:val="single" w:color="auto" w:sz="4" w:space="0"/>
              <w:tl2br w:val="nil"/>
              <w:tr2bl w:val="nil"/>
            </w:tcBorders>
          </w:tcPr>
          <w:p w14:paraId="31DD4E34">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c>
          <w:tcPr>
            <w:tcW w:w="653" w:type="pct"/>
            <w:tcBorders>
              <w:bottom w:val="single" w:color="auto" w:sz="4" w:space="0"/>
              <w:tl2br w:val="nil"/>
              <w:tr2bl w:val="nil"/>
            </w:tcBorders>
          </w:tcPr>
          <w:p w14:paraId="13CF132C">
            <w:pPr>
              <w:pStyle w:val="26"/>
              <w:pageBreakBefore w:val="0"/>
              <w:widowControl w:val="0"/>
              <w:topLinePunct w:val="0"/>
              <w:bidi w:val="0"/>
              <w:rPr>
                <w:color w:val="auto"/>
                <w:sz w:val="24"/>
                <w:szCs w:val="24"/>
                <w:highlight w:val="none"/>
              </w:rPr>
            </w:pPr>
            <w:r>
              <w:rPr>
                <w:rFonts w:hint="eastAsia"/>
                <w:color w:val="auto"/>
                <w:sz w:val="24"/>
                <w:szCs w:val="24"/>
                <w:highlight w:val="none"/>
              </w:rPr>
              <w:t>1</w:t>
            </w:r>
            <w:r>
              <w:rPr>
                <w:color w:val="auto"/>
                <w:sz w:val="24"/>
                <w:szCs w:val="24"/>
                <w:highlight w:val="none"/>
              </w:rPr>
              <w:t>.0</w:t>
            </w:r>
          </w:p>
        </w:tc>
        <w:tc>
          <w:tcPr>
            <w:tcW w:w="654" w:type="pct"/>
            <w:tcBorders>
              <w:bottom w:val="single" w:color="auto" w:sz="4" w:space="0"/>
              <w:right w:val="single" w:color="auto" w:sz="4" w:space="0"/>
              <w:tl2br w:val="nil"/>
              <w:tr2bl w:val="nil"/>
            </w:tcBorders>
          </w:tcPr>
          <w:p w14:paraId="5E0C3FD8">
            <w:pPr>
              <w:pStyle w:val="26"/>
              <w:pageBreakBefore w:val="0"/>
              <w:widowControl w:val="0"/>
              <w:topLinePunct w:val="0"/>
              <w:bidi w:val="0"/>
              <w:rPr>
                <w:color w:val="auto"/>
                <w:sz w:val="24"/>
                <w:szCs w:val="24"/>
                <w:highlight w:val="none"/>
              </w:rPr>
            </w:pPr>
            <w:r>
              <w:rPr>
                <w:rFonts w:hint="eastAsia"/>
                <w:color w:val="auto"/>
                <w:sz w:val="24"/>
                <w:szCs w:val="24"/>
                <w:highlight w:val="none"/>
              </w:rPr>
              <w:t>—</w:t>
            </w:r>
          </w:p>
        </w:tc>
      </w:tr>
    </w:tbl>
    <w:p w14:paraId="4DA78E25">
      <w:pPr>
        <w:pStyle w:val="29"/>
        <w:keepNext w:val="0"/>
        <w:keepLines w:val="0"/>
        <w:pageBreakBefore w:val="0"/>
        <w:widowControl/>
        <w:kinsoku w:val="0"/>
        <w:wordWrap/>
        <w:overflowPunct/>
        <w:topLinePunct w:val="0"/>
        <w:autoSpaceDE/>
        <w:autoSpaceDN/>
        <w:bidi w:val="0"/>
        <w:adjustRightInd w:val="0"/>
        <w:snapToGrid w:val="0"/>
        <w:spacing w:before="0" w:beforeLines="50"/>
        <w:ind w:firstLine="480" w:firstLineChars="200"/>
        <w:textAlignment w:val="baseline"/>
        <w:rPr>
          <w:color w:val="auto"/>
          <w:sz w:val="24"/>
          <w:szCs w:val="24"/>
        </w:rPr>
      </w:pPr>
      <w:r>
        <w:rPr>
          <w:color w:val="auto"/>
          <w:sz w:val="24"/>
          <w:szCs w:val="24"/>
        </w:rPr>
        <w:t>注：</w:t>
      </w:r>
    </w:p>
    <w:p w14:paraId="3407CEF5">
      <w:pPr>
        <w:pStyle w:val="29"/>
        <w:bidi w:val="0"/>
        <w:ind w:firstLine="480" w:firstLineChars="200"/>
        <w:rPr>
          <w:color w:val="auto"/>
          <w:sz w:val="24"/>
          <w:szCs w:val="24"/>
          <w:lang w:eastAsia="zh-CN"/>
        </w:rPr>
      </w:pPr>
      <w:r>
        <w:rPr>
          <w:color w:val="auto"/>
          <w:sz w:val="24"/>
          <w:szCs w:val="24"/>
          <w:lang w:eastAsia="zh-CN"/>
        </w:rPr>
        <w:t>1表中“一”号表示组合中不考虑该项荷载或作用效应；</w:t>
      </w:r>
    </w:p>
    <w:p w14:paraId="6C17086C">
      <w:pPr>
        <w:pStyle w:val="29"/>
        <w:bidi w:val="0"/>
        <w:ind w:firstLine="480" w:firstLineChars="200"/>
        <w:rPr>
          <w:color w:val="auto"/>
          <w:sz w:val="24"/>
          <w:szCs w:val="24"/>
          <w:lang w:eastAsia="zh-CN"/>
        </w:rPr>
      </w:pPr>
      <w:r>
        <w:rPr>
          <w:color w:val="auto"/>
          <w:sz w:val="24"/>
          <w:szCs w:val="24"/>
          <w:lang w:eastAsia="zh-CN"/>
        </w:rPr>
        <w:t>2正风荷载指组件正面为受荷面时的风荷载，负风荷载指组件背面为受荷面时的风荷载；</w:t>
      </w:r>
    </w:p>
    <w:p w14:paraId="68AA87C0">
      <w:pPr>
        <w:pStyle w:val="29"/>
        <w:bidi w:val="0"/>
        <w:ind w:firstLine="480" w:firstLineChars="200"/>
        <w:rPr>
          <w:color w:val="auto"/>
          <w:sz w:val="24"/>
          <w:szCs w:val="24"/>
          <w:lang w:eastAsia="zh-CN"/>
        </w:rPr>
      </w:pPr>
      <w:r>
        <w:rPr>
          <w:color w:val="auto"/>
          <w:sz w:val="24"/>
          <w:szCs w:val="24"/>
          <w:lang w:eastAsia="zh-CN"/>
        </w:rPr>
        <w:t>3</w:t>
      </w:r>
      <w:r>
        <w:rPr>
          <w:rFonts w:hint="eastAsia"/>
          <w:color w:val="auto"/>
          <w:sz w:val="24"/>
          <w:szCs w:val="24"/>
          <w:lang w:eastAsia="zh-CN"/>
        </w:rPr>
        <w:t>柔性支架以及</w:t>
      </w:r>
      <w:r>
        <w:rPr>
          <w:color w:val="auto"/>
          <w:sz w:val="24"/>
          <w:szCs w:val="24"/>
          <w:lang w:eastAsia="zh-CN"/>
        </w:rPr>
        <w:t>长度大于或等于120m</w:t>
      </w:r>
      <w:r>
        <w:rPr>
          <w:rFonts w:hint="eastAsia"/>
          <w:color w:val="auto"/>
          <w:sz w:val="24"/>
          <w:szCs w:val="24"/>
          <w:lang w:eastAsia="zh-CN"/>
        </w:rPr>
        <w:t>的支架</w:t>
      </w:r>
      <w:r>
        <w:rPr>
          <w:color w:val="auto"/>
          <w:sz w:val="24"/>
          <w:szCs w:val="24"/>
          <w:lang w:eastAsia="zh-CN"/>
        </w:rPr>
        <w:t>，应考虑</w:t>
      </w:r>
      <w:r>
        <w:rPr>
          <w:rFonts w:hint="eastAsia"/>
          <w:color w:val="auto"/>
          <w:sz w:val="24"/>
          <w:szCs w:val="24"/>
          <w:lang w:eastAsia="zh-CN"/>
        </w:rPr>
        <w:t>温度作用</w:t>
      </w:r>
      <w:r>
        <w:rPr>
          <w:color w:val="auto"/>
          <w:sz w:val="24"/>
          <w:szCs w:val="24"/>
          <w:lang w:eastAsia="zh-CN"/>
        </w:rPr>
        <w:t>。</w:t>
      </w:r>
    </w:p>
    <w:p w14:paraId="13F5FF22">
      <w:pPr>
        <w:pStyle w:val="29"/>
        <w:bidi w:val="0"/>
        <w:rPr>
          <w:color w:val="auto"/>
          <w:lang w:eastAsia="zh-CN"/>
        </w:rPr>
      </w:pPr>
      <w:r>
        <w:rPr>
          <w:rFonts w:hint="eastAsia"/>
          <w:b/>
          <w:bCs/>
          <w:color w:val="auto"/>
          <w:lang w:val="en-US" w:eastAsia="zh-CN"/>
        </w:rPr>
        <w:t>6. 7. 7</w:t>
      </w:r>
      <w:r>
        <w:rPr>
          <w:rFonts w:hint="eastAsia"/>
          <w:color w:val="auto"/>
        </w:rPr>
        <w:t>　</w:t>
      </w:r>
      <w:r>
        <w:rPr>
          <w:color w:val="auto"/>
          <w:lang w:eastAsia="zh-CN"/>
        </w:rPr>
        <w:t>当抗震设防烈度大于8度时，支架应进行抗震验算，抗震验算中结构重要性系数取1.0，结构构件抗力的设计值应除以承载力抗震调整系数</w:t>
      </w: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RE</m:t>
            </m:r>
            <m:ctrlPr>
              <w:rPr>
                <w:rFonts w:ascii="Cambria Math" w:hAnsi="Cambria Math"/>
                <w:color w:val="auto"/>
              </w:rPr>
            </m:ctrlPr>
          </m:sub>
        </m:sSub>
      </m:oMath>
      <w:r>
        <w:rPr>
          <w:rFonts w:hint="eastAsia"/>
          <w:color w:val="auto"/>
          <w:lang w:eastAsia="zh-CN"/>
        </w:rPr>
        <w:t>，</w:t>
      </w:r>
      <m:oMath>
        <m:r>
          <m:rPr>
            <m:sty m:val="p"/>
          </m:rPr>
          <w:rPr>
            <w:rFonts w:ascii="Cambria Math" w:hAnsi="Cambria Math"/>
            <w:color w:val="auto"/>
            <w:lang w:eastAsia="zh-CN"/>
          </w:rPr>
          <m:t xml:space="preserve"> </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RE</m:t>
            </m:r>
            <m:ctrlPr>
              <w:rPr>
                <w:rFonts w:ascii="Cambria Math" w:hAnsi="Cambria Math"/>
                <w:color w:val="auto"/>
              </w:rPr>
            </m:ctrlPr>
          </m:sub>
        </m:sSub>
      </m:oMath>
      <w:r>
        <w:rPr>
          <w:color w:val="auto"/>
          <w:lang w:eastAsia="zh-CN"/>
        </w:rPr>
        <w:t>按现行国家标准《</w:t>
      </w:r>
      <w:r>
        <w:rPr>
          <w:rFonts w:hint="eastAsia"/>
          <w:color w:val="auto"/>
          <w:lang w:eastAsia="zh-CN"/>
        </w:rPr>
        <w:t>构筑物抗震设计规范</w:t>
      </w:r>
      <w:r>
        <w:rPr>
          <w:color w:val="auto"/>
          <w:lang w:eastAsia="zh-CN"/>
        </w:rPr>
        <w:t>》GB 50191的规定取值。</w:t>
      </w:r>
    </w:p>
    <w:p w14:paraId="2631D40E">
      <w:pPr>
        <w:pStyle w:val="29"/>
        <w:bidi w:val="0"/>
        <w:rPr>
          <w:color w:val="auto"/>
          <w:lang w:eastAsia="zh-CN"/>
        </w:rPr>
      </w:pPr>
      <w:r>
        <w:rPr>
          <w:rFonts w:hint="eastAsia"/>
          <w:b/>
          <w:bCs/>
          <w:color w:val="auto"/>
          <w:lang w:val="en-US" w:eastAsia="zh-CN"/>
        </w:rPr>
        <w:t>6. 7. 8</w:t>
      </w:r>
      <w:r>
        <w:rPr>
          <w:rFonts w:hint="eastAsia"/>
          <w:color w:val="auto"/>
        </w:rPr>
        <w:t>　</w:t>
      </w:r>
      <w:r>
        <w:rPr>
          <w:rFonts w:hint="eastAsia"/>
          <w:color w:val="auto"/>
          <w:lang w:eastAsia="zh-CN"/>
        </w:rPr>
        <w:t>抗震设计时，</w:t>
      </w:r>
      <w:r>
        <w:rPr>
          <w:color w:val="auto"/>
          <w:lang w:eastAsia="zh-CN"/>
        </w:rPr>
        <w:t>承载能力极限状态下，荷载基本组合的效应设计值应按下式确定：</w:t>
      </w:r>
    </w:p>
    <w:p w14:paraId="39965195">
      <w:pPr>
        <w:pStyle w:val="29"/>
        <w:bidi w:val="0"/>
        <w:ind w:left="0" w:leftChars="0" w:right="0" w:rightChars="0" w:firstLine="0" w:firstLineChars="0"/>
        <w:jc w:val="center"/>
        <w:rPr>
          <w:rFonts w:hint="eastAsia" w:eastAsia="宋体"/>
          <w:color w:val="auto"/>
          <w:lang w:eastAsia="zh-CN"/>
        </w:rPr>
      </w:pPr>
      <m:oMath>
        <m:sSub>
          <m:sSubPr>
            <m:ctrlPr>
              <w:rPr>
                <w:rFonts w:ascii="Cambria Math" w:hAnsi="Cambria Math"/>
                <w:color w:val="auto"/>
              </w:rPr>
            </m:ctrlPr>
          </m:sSubPr>
          <m:e>
            <m:r>
              <m:rPr>
                <m:sty m:val="p"/>
              </m:rPr>
              <w:rPr>
                <w:rFonts w:ascii="Cambria Math" w:hAnsi="Cambria Math"/>
                <w:color w:val="auto"/>
              </w:rPr>
              <m:t>S</m:t>
            </m:r>
            <m:ctrlPr>
              <w:rPr>
                <w:rFonts w:ascii="Cambria Math" w:hAnsi="Cambria Math"/>
                <w:color w:val="auto"/>
              </w:rPr>
            </m:ctrlPr>
          </m:e>
          <m:sub>
            <m:r>
              <m:rPr>
                <m:sty m:val="p"/>
              </m:rPr>
              <w:rPr>
                <w:rFonts w:hint="eastAsia" w:ascii="Cambria Math" w:hAnsi="Cambria Math"/>
                <w:color w:val="auto"/>
              </w:rPr>
              <m:t>d</m:t>
            </m:r>
            <m:ctrlPr>
              <w:rPr>
                <w:rFonts w:ascii="Cambria Math" w:hAnsi="Cambria Math"/>
                <w:color w:val="auto"/>
              </w:rPr>
            </m:ctrlPr>
          </m:sub>
        </m:sSub>
        <m:r>
          <m:rPr>
            <m:sty m:val="p"/>
          </m:rPr>
          <w:rPr>
            <w:rFonts w:ascii="Cambria Math" w:hAnsi="Cambria Math"/>
            <w:color w:val="auto"/>
          </w:rPr>
          <m:t>≤S(</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G</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G</m:t>
            </m:r>
            <m:ctrlPr>
              <w:rPr>
                <w:rFonts w:ascii="Cambria Math" w:hAnsi="Cambria Math"/>
                <w:color w:val="auto"/>
              </w:rPr>
            </m:ctrlPr>
          </m:e>
          <m:sub>
            <m:r>
              <m:rPr>
                <m:sty m:val="p"/>
              </m:rPr>
              <w:rPr>
                <w:rFonts w:ascii="Cambria Math" w:hAnsi="Cambria Math"/>
                <w:color w:val="auto"/>
              </w:rPr>
              <m:t>E</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P</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P</m:t>
            </m:r>
            <m:ctrlPr>
              <w:rPr>
                <w:rFonts w:ascii="Cambria Math" w:hAnsi="Cambria Math"/>
                <w:color w:val="auto"/>
              </w:rPr>
            </m:ctrlPr>
          </m:e>
          <m:sub>
            <m:r>
              <m:rPr>
                <m:sty m:val="p"/>
              </m:rPr>
              <w:rPr>
                <w:rFonts w:ascii="Cambria Math" w:hAnsi="Cambria Math"/>
                <w:color w:val="auto"/>
              </w:rPr>
              <m:t>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E</m:t>
            </m:r>
            <m:r>
              <m:rPr>
                <m:sty m:val="p"/>
              </m:rPr>
              <w:rPr>
                <w:rFonts w:hint="eastAsia" w:ascii="Cambria Math" w:hAnsi="Cambria Math"/>
                <w:color w:val="auto"/>
              </w:rPr>
              <m:t>h</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E</m:t>
            </m:r>
            <m:r>
              <m:rPr>
                <m:sty m:val="p"/>
              </m:rPr>
              <w:rPr>
                <w:rFonts w:hint="eastAsia" w:ascii="Cambria Math" w:hAnsi="Cambria Math"/>
                <w:color w:val="auto"/>
              </w:rPr>
              <m:t>h</m:t>
            </m:r>
            <m:r>
              <m:rPr>
                <m:sty m:val="p"/>
              </m:rPr>
              <w:rPr>
                <w:rFonts w:ascii="Cambria Math" w:hAnsi="Cambria Math"/>
                <w:color w:val="auto"/>
              </w:rPr>
              <m:t>K</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rPr>
              <m:t>W</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φ</m:t>
            </m:r>
            <m:ctrlPr>
              <w:rPr>
                <w:rFonts w:ascii="Cambria Math" w:hAnsi="Cambria Math"/>
                <w:color w:val="auto"/>
              </w:rPr>
            </m:ctrlPr>
          </m:e>
          <m:sub>
            <m:r>
              <m:rPr>
                <m:sty m:val="p"/>
              </m:rPr>
              <w:rPr>
                <w:rFonts w:ascii="Cambria Math" w:hAnsi="Cambria Math"/>
                <w:color w:val="auto"/>
              </w:rPr>
              <m:t>W</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WK</m:t>
            </m:r>
            <m:ctrlPr>
              <w:rPr>
                <w:rFonts w:ascii="Cambria Math" w:hAnsi="Cambria Math"/>
                <w:color w:val="auto"/>
              </w:rPr>
            </m:ctrlPr>
          </m:sub>
        </m:sSub>
        <m:r>
          <m:rPr>
            <m:sty m:val="p"/>
          </m:rPr>
          <w:rPr>
            <w:rFonts w:ascii="Cambria Math" w:hAnsi="Cambria Math"/>
            <w:color w:val="auto"/>
          </w:rPr>
          <m:t>)</m:t>
        </m:r>
      </m:oMath>
      <w:r>
        <w:rPr>
          <w:color w:val="auto"/>
        </w:rPr>
        <w:t xml:space="preserve">   </w:t>
      </w:r>
      <w:r>
        <w:rPr>
          <w:rFonts w:hint="eastAsia"/>
          <w:color w:val="auto"/>
          <w:lang w:eastAsia="zh-CN"/>
        </w:rPr>
        <w:t>（</w:t>
      </w:r>
      <w:r>
        <w:rPr>
          <w:b/>
          <w:bCs/>
          <w:color w:val="auto"/>
        </w:rPr>
        <w:t>6.</w:t>
      </w:r>
      <w:r>
        <w:rPr>
          <w:rFonts w:hint="eastAsia"/>
          <w:b/>
          <w:bCs/>
          <w:color w:val="auto"/>
          <w:lang w:val="en-US" w:eastAsia="zh-CN"/>
        </w:rPr>
        <w:t xml:space="preserve"> </w:t>
      </w:r>
      <w:r>
        <w:rPr>
          <w:b/>
          <w:bCs/>
          <w:color w:val="auto"/>
        </w:rPr>
        <w:t>7.</w:t>
      </w:r>
      <w:r>
        <w:rPr>
          <w:rFonts w:hint="eastAsia"/>
          <w:b/>
          <w:bCs/>
          <w:color w:val="auto"/>
          <w:lang w:val="en-US" w:eastAsia="zh-CN"/>
        </w:rPr>
        <w:t xml:space="preserve"> </w:t>
      </w:r>
      <w:r>
        <w:rPr>
          <w:b/>
          <w:bCs/>
          <w:color w:val="auto"/>
        </w:rPr>
        <w:t>8</w:t>
      </w:r>
      <w:r>
        <w:rPr>
          <w:rFonts w:hint="eastAsia"/>
          <w:color w:val="auto"/>
          <w:lang w:eastAsia="zh-CN"/>
        </w:rPr>
        <w:t>）</w:t>
      </w:r>
    </w:p>
    <w:p w14:paraId="48549653">
      <w:pPr>
        <w:pStyle w:val="29"/>
        <w:bidi w:val="0"/>
        <w:ind w:firstLine="560" w:firstLineChars="200"/>
        <w:rPr>
          <w:color w:val="auto"/>
          <w:lang w:eastAsia="zh-CN"/>
        </w:rPr>
      </w:pPr>
      <w:r>
        <w:rPr>
          <w:color w:val="auto"/>
          <w:lang w:eastAsia="zh-CN"/>
        </w:rPr>
        <w:t>式中：</w:t>
      </w:r>
    </w:p>
    <w:p w14:paraId="7E0632CD">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G</m:t>
            </m:r>
            <m:ctrlPr>
              <w:rPr>
                <w:rFonts w:ascii="Cambria Math" w:hAnsi="Cambria Math"/>
                <w:color w:val="auto"/>
              </w:rPr>
            </m:ctrlPr>
          </m:e>
          <m:sub>
            <m:r>
              <m:rPr>
                <m:sty m:val="p"/>
              </m:rPr>
              <w:rPr>
                <w:rFonts w:ascii="Cambria Math" w:hAnsi="Cambria Math"/>
                <w:color w:val="auto"/>
                <w:lang w:eastAsia="zh-CN"/>
              </w:rPr>
              <m:t>E</m:t>
            </m:r>
            <m:ctrlPr>
              <w:rPr>
                <w:rFonts w:ascii="Cambria Math" w:hAnsi="Cambria Math"/>
                <w:color w:val="auto"/>
              </w:rPr>
            </m:ctrlPr>
          </m:sub>
        </m:sSub>
      </m:oMath>
      <w:r>
        <w:rPr>
          <w:color w:val="auto"/>
          <w:lang w:eastAsia="zh-CN"/>
        </w:rPr>
        <w:t>——</w:t>
      </w:r>
      <w:r>
        <w:rPr>
          <w:rFonts w:hint="eastAsia"/>
          <w:color w:val="auto"/>
          <w:lang w:eastAsia="zh-CN"/>
        </w:rPr>
        <w:t>重力荷载代表值，应按现行国家</w:t>
      </w:r>
      <w:r>
        <w:rPr>
          <w:rFonts w:hint="eastAsia"/>
          <w:color w:val="auto"/>
          <w:lang w:val="en-US" w:eastAsia="zh-CN"/>
        </w:rPr>
        <w:t>标准</w:t>
      </w:r>
      <w:r>
        <w:rPr>
          <w:rFonts w:hint="eastAsia"/>
          <w:color w:val="auto"/>
          <w:lang w:eastAsia="zh-CN"/>
        </w:rPr>
        <w:t>《构筑物抗震设计规范》G</w:t>
      </w:r>
      <w:r>
        <w:rPr>
          <w:color w:val="auto"/>
          <w:lang w:eastAsia="zh-CN"/>
        </w:rPr>
        <w:t>B</w:t>
      </w:r>
      <w:r>
        <w:rPr>
          <w:rFonts w:hint="eastAsia"/>
          <w:color w:val="auto"/>
          <w:lang w:val="en-US" w:eastAsia="zh-CN"/>
        </w:rPr>
        <w:t xml:space="preserve"> </w:t>
      </w:r>
      <w:r>
        <w:rPr>
          <w:color w:val="auto"/>
          <w:lang w:eastAsia="zh-CN"/>
        </w:rPr>
        <w:t>50191</w:t>
      </w:r>
      <w:r>
        <w:rPr>
          <w:rFonts w:hint="eastAsia"/>
          <w:color w:val="auto"/>
          <w:lang w:eastAsia="zh-CN"/>
        </w:rPr>
        <w:t>相关规定确定</w:t>
      </w:r>
      <w:r>
        <w:rPr>
          <w:color w:val="auto"/>
          <w:lang w:eastAsia="zh-CN"/>
        </w:rPr>
        <w:t>；</w:t>
      </w:r>
    </w:p>
    <w:p w14:paraId="5A06D961">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Q</m:t>
            </m:r>
            <m:ctrlPr>
              <w:rPr>
                <w:rFonts w:ascii="Cambria Math" w:hAnsi="Cambria Math"/>
                <w:color w:val="auto"/>
              </w:rPr>
            </m:ctrlPr>
          </m:e>
          <m:sub>
            <m:r>
              <m:rPr>
                <m:sty m:val="p"/>
              </m:rPr>
              <w:rPr>
                <w:rFonts w:ascii="Cambria Math" w:hAnsi="Cambria Math"/>
                <w:color w:val="auto"/>
                <w:lang w:eastAsia="zh-CN"/>
              </w:rPr>
              <m:t>E</m:t>
            </m:r>
            <m:r>
              <m:rPr>
                <m:sty m:val="p"/>
              </m:rPr>
              <w:rPr>
                <w:rFonts w:hint="eastAsia" w:ascii="Cambria Math" w:hAnsi="Cambria Math"/>
                <w:color w:val="auto"/>
                <w:lang w:eastAsia="zh-CN"/>
              </w:rPr>
              <m:t>h</m:t>
            </m:r>
            <m:r>
              <m:rPr>
                <m:sty m:val="p"/>
              </m:rPr>
              <w:rPr>
                <w:rFonts w:ascii="Cambria Math" w:hAnsi="Cambria Math"/>
                <w:color w:val="auto"/>
                <w:lang w:eastAsia="zh-CN"/>
              </w:rPr>
              <m:t>K</m:t>
            </m:r>
            <m:ctrlPr>
              <w:rPr>
                <w:rFonts w:ascii="Cambria Math" w:hAnsi="Cambria Math"/>
                <w:color w:val="auto"/>
              </w:rPr>
            </m:ctrlPr>
          </m:sub>
        </m:sSub>
      </m:oMath>
      <w:r>
        <w:rPr>
          <w:color w:val="auto"/>
          <w:lang w:eastAsia="zh-CN"/>
        </w:rPr>
        <w:t>——</w:t>
      </w:r>
      <w:r>
        <w:rPr>
          <w:rFonts w:hint="eastAsia"/>
          <w:color w:val="auto"/>
          <w:lang w:eastAsia="zh-CN"/>
        </w:rPr>
        <w:t>水平地震</w:t>
      </w:r>
      <w:r>
        <w:rPr>
          <w:color w:val="auto"/>
          <w:lang w:eastAsia="zh-CN"/>
        </w:rPr>
        <w:t>作用标准值；</w:t>
      </w:r>
    </w:p>
    <w:p w14:paraId="5FA8B917">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γ</m:t>
            </m:r>
            <m:ctrlPr>
              <w:rPr>
                <w:rFonts w:ascii="Cambria Math" w:hAnsi="Cambria Math"/>
                <w:color w:val="auto"/>
              </w:rPr>
            </m:ctrlPr>
          </m:e>
          <m:sub>
            <m:r>
              <m:rPr>
                <m:sty m:val="p"/>
              </m:rPr>
              <w:rPr>
                <w:rFonts w:ascii="Cambria Math" w:hAnsi="Cambria Math"/>
                <w:color w:val="auto"/>
                <w:lang w:eastAsia="zh-CN"/>
              </w:rPr>
              <m:t>E</m:t>
            </m:r>
            <m:r>
              <m:rPr>
                <m:sty m:val="p"/>
              </m:rPr>
              <w:rPr>
                <w:rFonts w:hint="eastAsia" w:ascii="Cambria Math" w:hAnsi="Cambria Math"/>
                <w:color w:val="auto"/>
                <w:lang w:eastAsia="zh-CN"/>
              </w:rPr>
              <m:t>h</m:t>
            </m:r>
            <m:ctrlPr>
              <w:rPr>
                <w:rFonts w:ascii="Cambria Math" w:hAnsi="Cambria Math"/>
                <w:color w:val="auto"/>
              </w:rPr>
            </m:ctrlPr>
          </m:sub>
        </m:sSub>
        <m:r>
          <m:rPr>
            <m:sty m:val="p"/>
          </m:rPr>
          <w:rPr>
            <w:rFonts w:ascii="Cambria Math" w:hAnsi="Cambria Math"/>
            <w:color w:val="auto"/>
            <w:lang w:eastAsia="zh-CN"/>
          </w:rPr>
          <m:t>——</m:t>
        </m:r>
      </m:oMath>
      <w:r>
        <w:rPr>
          <w:rFonts w:hint="eastAsia"/>
          <w:color w:val="auto"/>
          <w:lang w:eastAsia="zh-CN"/>
        </w:rPr>
        <w:t>水平地震</w:t>
      </w:r>
      <w:r>
        <w:rPr>
          <w:color w:val="auto"/>
          <w:lang w:eastAsia="zh-CN"/>
        </w:rPr>
        <w:t>作用的分项系数，应取1.4；</w:t>
      </w:r>
    </w:p>
    <w:p w14:paraId="4AFE0736">
      <w:pPr>
        <w:pStyle w:val="29"/>
        <w:bidi w:val="0"/>
        <w:ind w:firstLine="560" w:firstLineChars="200"/>
        <w:rPr>
          <w:color w:val="auto"/>
          <w:lang w:eastAsia="zh-CN"/>
        </w:rPr>
      </w:pPr>
      <m:oMath>
        <m:sSub>
          <m:sSubPr>
            <m:ctrlPr>
              <w:rPr>
                <w:rFonts w:ascii="Cambria Math" w:hAnsi="Cambria Math"/>
                <w:color w:val="auto"/>
              </w:rPr>
            </m:ctrlPr>
          </m:sSubPr>
          <m:e>
            <m:r>
              <m:rPr>
                <m:sty m:val="p"/>
              </m:rPr>
              <w:rPr>
                <w:rFonts w:ascii="Cambria Math" w:hAnsi="Cambria Math"/>
                <w:color w:val="auto"/>
              </w:rPr>
              <m:t>φ</m:t>
            </m:r>
            <m:ctrlPr>
              <w:rPr>
                <w:rFonts w:ascii="Cambria Math" w:hAnsi="Cambria Math"/>
                <w:color w:val="auto"/>
              </w:rPr>
            </m:ctrlPr>
          </m:e>
          <m:sub>
            <m:r>
              <m:rPr>
                <m:sty m:val="p"/>
              </m:rPr>
              <w:rPr>
                <w:rFonts w:ascii="Cambria Math" w:hAnsi="Cambria Math"/>
                <w:color w:val="auto"/>
                <w:lang w:eastAsia="zh-CN"/>
              </w:rPr>
              <m:t>W</m:t>
            </m:r>
            <m:ctrlPr>
              <w:rPr>
                <w:rFonts w:ascii="Cambria Math" w:hAnsi="Cambria Math"/>
                <w:color w:val="auto"/>
              </w:rPr>
            </m:ctrlPr>
          </m:sub>
        </m:sSub>
      </m:oMath>
      <w:r>
        <w:rPr>
          <w:color w:val="auto"/>
          <w:lang w:eastAsia="zh-CN"/>
        </w:rPr>
        <w:t>——风荷载组合值系数</w:t>
      </w:r>
      <w:r>
        <w:rPr>
          <w:rFonts w:hint="eastAsia"/>
          <w:color w:val="auto"/>
          <w:lang w:eastAsia="zh-CN"/>
        </w:rPr>
        <w:t>，抗震设计时，</w:t>
      </w:r>
      <w:r>
        <w:rPr>
          <w:color w:val="auto"/>
          <w:lang w:eastAsia="zh-CN"/>
        </w:rPr>
        <w:t>取0.2。</w:t>
      </w:r>
    </w:p>
    <w:p w14:paraId="2057332C">
      <w:pPr>
        <w:pStyle w:val="29"/>
        <w:bidi w:val="0"/>
        <w:rPr>
          <w:color w:val="auto"/>
          <w:lang w:eastAsia="zh-CN"/>
        </w:rPr>
      </w:pPr>
      <w:r>
        <w:rPr>
          <w:rFonts w:hint="eastAsia"/>
          <w:b/>
          <w:bCs/>
          <w:color w:val="auto"/>
          <w:lang w:val="en-US" w:eastAsia="zh-CN"/>
        </w:rPr>
        <w:t>6. 7. 9</w:t>
      </w:r>
      <w:r>
        <w:rPr>
          <w:rFonts w:hint="eastAsia"/>
          <w:color w:val="auto"/>
        </w:rPr>
        <w:t>　</w:t>
      </w:r>
      <w:r>
        <w:rPr>
          <w:rFonts w:hint="eastAsia"/>
          <w:color w:val="auto"/>
          <w:lang w:eastAsia="zh-CN"/>
        </w:rPr>
        <w:t>按正常使用极限状态设计结构构件时，应采用荷载效应的标准组合，荷载效应组合的设计值应按下式验算：</w:t>
      </w:r>
    </w:p>
    <w:p w14:paraId="49FA6AF6">
      <w:pPr>
        <w:pStyle w:val="29"/>
        <w:bidi w:val="0"/>
        <w:ind w:left="0" w:leftChars="0" w:right="0" w:rightChars="0" w:firstLine="0" w:firstLineChars="0"/>
        <w:jc w:val="center"/>
        <w:rPr>
          <w:color w:val="auto"/>
          <w:lang w:eastAsia="zh-CN"/>
        </w:rPr>
      </w:pPr>
      <m:oMath>
        <m:sSub>
          <m:sSubPr>
            <m:ctrlPr>
              <w:rPr>
                <w:rFonts w:ascii="Cambria Math" w:hAnsi="Cambria Math"/>
                <w:color w:val="auto"/>
              </w:rPr>
            </m:ctrlPr>
          </m:sSubPr>
          <m:e>
            <m:r>
              <m:rPr>
                <m:sty m:val="p"/>
              </m:rPr>
              <w:rPr>
                <w:rFonts w:ascii="Cambria Math" w:hAnsi="Cambria Math"/>
                <w:color w:val="auto"/>
                <w:lang w:eastAsia="zh-CN"/>
              </w:rPr>
              <m:t>S</m:t>
            </m:r>
            <m:ctrlPr>
              <w:rPr>
                <w:rFonts w:ascii="Cambria Math" w:hAnsi="Cambria Math"/>
                <w:color w:val="auto"/>
              </w:rPr>
            </m:ctrlPr>
          </m:e>
          <m:sub>
            <m:r>
              <m:rPr>
                <m:sty m:val="p"/>
              </m:rPr>
              <w:rPr>
                <w:rFonts w:hint="eastAsia" w:ascii="Cambria Math" w:hAnsi="Cambria Math"/>
                <w:color w:val="auto"/>
                <w:lang w:eastAsia="zh-CN"/>
              </w:rPr>
              <m:t>k</m:t>
            </m:r>
            <m:ctrlPr>
              <w:rPr>
                <w:rFonts w:ascii="Cambria Math" w:hAnsi="Cambria Math"/>
                <w:color w:val="auto"/>
              </w:rPr>
            </m:ctrlPr>
          </m:sub>
        </m:sSub>
        <m:r>
          <m:rPr>
            <m:sty m:val="p"/>
          </m:rPr>
          <w:rPr>
            <w:rFonts w:ascii="Cambria Math" w:hAnsi="Cambria Math"/>
            <w:color w:val="auto"/>
            <w:lang w:eastAsia="zh-CN"/>
          </w:rPr>
          <m:t>≤C</m:t>
        </m:r>
      </m:oMath>
      <w:r>
        <w:rPr>
          <w:rFonts w:hint="eastAsia"/>
          <w:color w:val="auto"/>
          <w:lang w:eastAsia="zh-CN"/>
        </w:rPr>
        <w:t xml:space="preserve"> </w:t>
      </w:r>
      <w:r>
        <w:rPr>
          <w:color w:val="auto"/>
          <w:lang w:eastAsia="zh-CN"/>
        </w:rPr>
        <w:t xml:space="preserve">    </w:t>
      </w:r>
      <w:r>
        <w:rPr>
          <w:rFonts w:hint="eastAsia"/>
          <w:b/>
          <w:bCs/>
          <w:color w:val="auto"/>
          <w:lang w:eastAsia="zh-CN"/>
        </w:rPr>
        <w:t>（</w:t>
      </w:r>
      <w:r>
        <w:rPr>
          <w:b/>
          <w:bCs/>
          <w:color w:val="auto"/>
          <w:lang w:eastAsia="zh-CN"/>
        </w:rPr>
        <w:t>6.</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9</w:t>
      </w:r>
      <w:r>
        <w:rPr>
          <w:rFonts w:hint="eastAsia"/>
          <w:b/>
          <w:bCs/>
          <w:color w:val="auto"/>
          <w:lang w:eastAsia="zh-CN"/>
        </w:rPr>
        <w:t>）</w:t>
      </w:r>
    </w:p>
    <w:p w14:paraId="5CAB19DC">
      <w:pPr>
        <w:pStyle w:val="29"/>
        <w:bidi w:val="0"/>
        <w:ind w:firstLine="560" w:firstLineChars="200"/>
        <w:rPr>
          <w:color w:val="auto"/>
          <w:lang w:eastAsia="zh-CN"/>
        </w:rPr>
      </w:pPr>
      <w:r>
        <w:rPr>
          <w:color w:val="auto"/>
          <w:lang w:eastAsia="zh-CN"/>
        </w:rPr>
        <w:t>式中：</w:t>
      </w:r>
    </w:p>
    <w:p w14:paraId="443B0E8E">
      <w:pPr>
        <w:pStyle w:val="29"/>
        <w:bidi w:val="0"/>
        <w:ind w:firstLine="560" w:firstLineChars="200"/>
        <w:rPr>
          <w:color w:val="auto"/>
          <w:lang w:eastAsia="zh-CN"/>
        </w:rPr>
      </w:pPr>
      <m:oMath>
        <m:r>
          <m:rPr>
            <m:sty m:val="p"/>
          </m:rPr>
          <w:rPr>
            <w:rFonts w:ascii="Cambria Math" w:hAnsi="Cambria Math"/>
            <w:color w:val="auto"/>
            <w:lang w:eastAsia="zh-CN"/>
          </w:rPr>
          <m:t>C</m:t>
        </m:r>
      </m:oMath>
      <w:r>
        <w:rPr>
          <w:rFonts w:hint="eastAsia"/>
          <w:color w:val="auto"/>
          <w:lang w:eastAsia="zh-CN"/>
        </w:rPr>
        <w:t>——</w:t>
      </w:r>
      <w:r>
        <w:rPr>
          <w:color w:val="auto"/>
          <w:lang w:eastAsia="zh-CN"/>
        </w:rPr>
        <w:t>结构或结构构件达到正常使用要求所规定的变形限值，包括变形、裂缝、振幅、加速度、应力等的限值，应按相关建筑结构设计标准的规定采用。</w:t>
      </w:r>
    </w:p>
    <w:p w14:paraId="1D3C8672">
      <w:pPr>
        <w:pStyle w:val="29"/>
        <w:bidi w:val="0"/>
        <w:rPr>
          <w:color w:val="auto"/>
          <w:lang w:eastAsia="zh-CN"/>
        </w:rPr>
      </w:pPr>
      <w:r>
        <w:rPr>
          <w:rFonts w:hint="eastAsia"/>
          <w:b/>
          <w:bCs/>
          <w:color w:val="auto"/>
          <w:lang w:val="en-US" w:eastAsia="zh-CN"/>
        </w:rPr>
        <w:t>6. 7. 10</w:t>
      </w:r>
      <w:r>
        <w:rPr>
          <w:rFonts w:hint="eastAsia"/>
          <w:color w:val="auto"/>
        </w:rPr>
        <w:t>　</w:t>
      </w:r>
      <w:r>
        <w:rPr>
          <w:color w:val="auto"/>
          <w:lang w:eastAsia="zh-CN"/>
        </w:rPr>
        <w:t>正常使用极限状态下，荷载标准组合的效应设计值应按式</w:t>
      </w:r>
      <w:r>
        <w:rPr>
          <w:rFonts w:hint="eastAsia"/>
          <w:b/>
          <w:bCs/>
          <w:color w:val="auto"/>
          <w:lang w:eastAsia="zh-CN"/>
        </w:rPr>
        <w:t>6</w:t>
      </w:r>
      <w:r>
        <w:rPr>
          <w:b/>
          <w:bCs/>
          <w:color w:val="auto"/>
          <w:lang w:eastAsia="zh-CN"/>
        </w:rPr>
        <w:t>.</w:t>
      </w:r>
      <w:r>
        <w:rPr>
          <w:rFonts w:hint="eastAsia"/>
          <w:b/>
          <w:bCs/>
          <w:color w:val="auto"/>
          <w:lang w:val="en-US" w:eastAsia="zh-CN"/>
        </w:rPr>
        <w:t xml:space="preserve"> </w:t>
      </w:r>
      <w:r>
        <w:rPr>
          <w:rFonts w:hint="eastAsia"/>
          <w:b/>
          <w:bCs/>
          <w:color w:val="auto"/>
          <w:lang w:eastAsia="zh-CN"/>
        </w:rPr>
        <w:t>7</w:t>
      </w:r>
      <w:r>
        <w:rPr>
          <w:b/>
          <w:bCs/>
          <w:color w:val="auto"/>
          <w:lang w:eastAsia="zh-CN"/>
        </w:rPr>
        <w:t>.</w:t>
      </w:r>
      <w:r>
        <w:rPr>
          <w:rFonts w:hint="eastAsia"/>
          <w:b/>
          <w:bCs/>
          <w:color w:val="auto"/>
          <w:lang w:val="en-US" w:eastAsia="zh-CN"/>
        </w:rPr>
        <w:t xml:space="preserve"> </w:t>
      </w:r>
      <w:r>
        <w:rPr>
          <w:b/>
          <w:bCs/>
          <w:color w:val="auto"/>
          <w:lang w:eastAsia="zh-CN"/>
        </w:rPr>
        <w:t>5</w:t>
      </w:r>
      <w:r>
        <w:rPr>
          <w:rFonts w:hint="eastAsia"/>
          <w:color w:val="auto"/>
          <w:lang w:eastAsia="zh-CN"/>
        </w:rPr>
        <w:t>、</w:t>
      </w:r>
      <w:r>
        <w:rPr>
          <w:color w:val="auto"/>
          <w:lang w:eastAsia="zh-CN"/>
        </w:rPr>
        <w:t>式</w:t>
      </w:r>
      <w:r>
        <w:rPr>
          <w:rFonts w:hint="eastAsia"/>
          <w:b/>
          <w:bCs/>
          <w:color w:val="auto"/>
          <w:lang w:eastAsia="zh-CN"/>
        </w:rPr>
        <w:t>6</w:t>
      </w:r>
      <w:r>
        <w:rPr>
          <w:b/>
          <w:bCs/>
          <w:color w:val="auto"/>
          <w:lang w:eastAsia="zh-CN"/>
        </w:rPr>
        <w:t>.</w:t>
      </w:r>
      <w:r>
        <w:rPr>
          <w:rFonts w:hint="eastAsia"/>
          <w:b/>
          <w:bCs/>
          <w:color w:val="auto"/>
          <w:lang w:val="en-US" w:eastAsia="zh-CN"/>
        </w:rPr>
        <w:t xml:space="preserve"> </w:t>
      </w:r>
      <w:r>
        <w:rPr>
          <w:rFonts w:hint="eastAsia"/>
          <w:b/>
          <w:bCs/>
          <w:color w:val="auto"/>
          <w:lang w:eastAsia="zh-CN"/>
        </w:rPr>
        <w:t>7</w:t>
      </w:r>
      <w:r>
        <w:rPr>
          <w:b/>
          <w:bCs/>
          <w:color w:val="auto"/>
          <w:lang w:eastAsia="zh-CN"/>
        </w:rPr>
        <w:t>.</w:t>
      </w:r>
      <w:r>
        <w:rPr>
          <w:rFonts w:hint="eastAsia"/>
          <w:b/>
          <w:bCs/>
          <w:color w:val="auto"/>
          <w:lang w:val="en-US" w:eastAsia="zh-CN"/>
        </w:rPr>
        <w:t xml:space="preserve"> </w:t>
      </w:r>
      <w:r>
        <w:rPr>
          <w:b/>
          <w:bCs/>
          <w:color w:val="auto"/>
          <w:lang w:eastAsia="zh-CN"/>
        </w:rPr>
        <w:t>8</w:t>
      </w:r>
      <w:r>
        <w:rPr>
          <w:color w:val="auto"/>
          <w:lang w:eastAsia="zh-CN"/>
        </w:rPr>
        <w:t>计算</w:t>
      </w:r>
      <w:r>
        <w:rPr>
          <w:rFonts w:hint="eastAsia"/>
          <w:color w:val="auto"/>
          <w:lang w:eastAsia="zh-CN"/>
        </w:rPr>
        <w:t>，但其分项系数均为1</w:t>
      </w:r>
      <w:r>
        <w:rPr>
          <w:color w:val="auto"/>
          <w:lang w:eastAsia="zh-CN"/>
        </w:rPr>
        <w:t>.0</w:t>
      </w:r>
      <w:r>
        <w:rPr>
          <w:rFonts w:hint="eastAsia"/>
          <w:color w:val="auto"/>
          <w:lang w:eastAsia="zh-CN"/>
        </w:rPr>
        <w:t>。</w:t>
      </w:r>
    </w:p>
    <w:p w14:paraId="561894A9">
      <w:pPr>
        <w:pStyle w:val="29"/>
        <w:bidi w:val="0"/>
        <w:rPr>
          <w:color w:val="auto"/>
          <w:lang w:eastAsia="zh-CN"/>
        </w:rPr>
      </w:pPr>
      <w:r>
        <w:rPr>
          <w:rFonts w:hint="eastAsia"/>
          <w:b/>
          <w:bCs/>
          <w:color w:val="auto"/>
          <w:lang w:val="en-US" w:eastAsia="zh-CN"/>
        </w:rPr>
        <w:t>6. 7. 11</w:t>
      </w:r>
      <w:r>
        <w:rPr>
          <w:rFonts w:hint="eastAsia"/>
          <w:color w:val="auto"/>
        </w:rPr>
        <w:t>　</w:t>
      </w:r>
      <w:r>
        <w:rPr>
          <w:color w:val="auto"/>
          <w:lang w:eastAsia="zh-CN"/>
        </w:rPr>
        <w:t>风荷载、雪荷载和</w:t>
      </w:r>
      <w:r>
        <w:rPr>
          <w:rFonts w:hint="eastAsia"/>
          <w:color w:val="auto"/>
          <w:lang w:eastAsia="zh-CN"/>
        </w:rPr>
        <w:t>温度作用</w:t>
      </w:r>
      <w:r>
        <w:rPr>
          <w:color w:val="auto"/>
          <w:lang w:eastAsia="zh-CN"/>
        </w:rPr>
        <w:t>应按现行国家标准《建筑结构荷载规范》GB 50009中不小于25年一遇的荷载数值取值</w:t>
      </w:r>
      <w:bookmarkStart w:id="76" w:name="OLE_LINK4"/>
      <w:r>
        <w:rPr>
          <w:rFonts w:hint="eastAsia"/>
          <w:color w:val="auto"/>
          <w:lang w:eastAsia="zh-CN"/>
        </w:rPr>
        <w:t>，并参照临近气象站或气象数据库数据进行复核修正</w:t>
      </w:r>
      <w:bookmarkEnd w:id="76"/>
      <w:r>
        <w:rPr>
          <w:rFonts w:hint="eastAsia"/>
          <w:color w:val="auto"/>
          <w:lang w:eastAsia="zh-CN"/>
        </w:rPr>
        <w:t>，支架纵向风荷载宜根据实际地形考虑。</w:t>
      </w:r>
      <w:r>
        <w:rPr>
          <w:color w:val="auto"/>
          <w:lang w:eastAsia="zh-CN"/>
        </w:rPr>
        <w:t>支架风荷载的体型系数</w:t>
      </w:r>
      <w:r>
        <w:rPr>
          <w:rFonts w:hint="eastAsia"/>
          <w:color w:val="auto"/>
          <w:lang w:eastAsia="zh-CN"/>
        </w:rPr>
        <w:t>按</w:t>
      </w:r>
      <w:r>
        <w:rPr>
          <w:rFonts w:hint="eastAsia"/>
          <w:color w:val="auto"/>
          <w:lang w:val="en-US" w:eastAsia="zh-CN"/>
        </w:rPr>
        <w:t>现行行业标准</w:t>
      </w:r>
      <w:r>
        <w:rPr>
          <w:rFonts w:hint="eastAsia"/>
          <w:color w:val="auto"/>
          <w:lang w:eastAsia="zh-CN"/>
        </w:rPr>
        <w:t>《光伏支架结构设计规程》N</w:t>
      </w:r>
      <w:r>
        <w:rPr>
          <w:color w:val="auto"/>
          <w:lang w:eastAsia="zh-CN"/>
        </w:rPr>
        <w:t>B/T</w:t>
      </w:r>
      <w:r>
        <w:rPr>
          <w:rFonts w:hint="eastAsia"/>
          <w:color w:val="auto"/>
          <w:lang w:val="en-US" w:eastAsia="zh-CN"/>
        </w:rPr>
        <w:t xml:space="preserve"> </w:t>
      </w:r>
      <w:r>
        <w:rPr>
          <w:color w:val="auto"/>
          <w:lang w:eastAsia="zh-CN"/>
        </w:rPr>
        <w:t>10115</w:t>
      </w:r>
      <w:r>
        <w:rPr>
          <w:rFonts w:hint="eastAsia"/>
          <w:color w:val="auto"/>
          <w:lang w:eastAsia="zh-CN"/>
        </w:rPr>
        <w:t>相关规定取值</w:t>
      </w:r>
      <w:r>
        <w:rPr>
          <w:color w:val="auto"/>
          <w:lang w:eastAsia="zh-CN"/>
        </w:rPr>
        <w:t>，特殊体型的支架结构宜通过风洞试验确定。当需要考虑施工检修荷载时，检修荷载按实际荷载取用并作用于支架最不利位置。</w:t>
      </w:r>
    </w:p>
    <w:p w14:paraId="4C37F9D2">
      <w:pPr>
        <w:pStyle w:val="29"/>
        <w:bidi w:val="0"/>
        <w:rPr>
          <w:color w:val="auto"/>
          <w:lang w:eastAsia="zh-CN"/>
        </w:rPr>
      </w:pPr>
      <w:r>
        <w:rPr>
          <w:rFonts w:hint="eastAsia"/>
          <w:b/>
          <w:bCs/>
          <w:color w:val="auto"/>
          <w:lang w:val="en-US" w:eastAsia="zh-CN"/>
        </w:rPr>
        <w:t>6. 7. 12</w:t>
      </w:r>
      <w:r>
        <w:rPr>
          <w:rFonts w:hint="eastAsia"/>
          <w:color w:val="auto"/>
        </w:rPr>
        <w:t>　</w:t>
      </w:r>
      <w:r>
        <w:rPr>
          <w:rFonts w:hint="eastAsia"/>
          <w:color w:val="auto"/>
          <w:lang w:eastAsia="zh-CN"/>
        </w:rPr>
        <w:t>跟踪式光伏支架应按最不利形态进行结构承载力、刚度及稳定性验算，对于设置有保护系统的跟踪支架，应按以下三种典型形态进行验算：</w:t>
      </w:r>
    </w:p>
    <w:p w14:paraId="297D63B8">
      <w:pPr>
        <w:pStyle w:val="29"/>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eastAsia="zh-CN"/>
        </w:rPr>
        <w:t>保护形态下，应采用设计风压及设计雪压进行荷载组合进行验算；</w:t>
      </w:r>
    </w:p>
    <w:p w14:paraId="691A22ED">
      <w:pPr>
        <w:pStyle w:val="29"/>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最大倾角形态下，采用保护触发风速及设计雪压进行荷载组合进行验算；</w:t>
      </w:r>
    </w:p>
    <w:p w14:paraId="3C0BB82B">
      <w:pPr>
        <w:pStyle w:val="29"/>
        <w:bidi w:val="0"/>
        <w:ind w:firstLine="562" w:firstLineChars="200"/>
        <w:rPr>
          <w:color w:val="auto"/>
          <w:lang w:eastAsia="zh-CN"/>
        </w:rPr>
      </w:pPr>
      <w:r>
        <w:rPr>
          <w:b/>
          <w:bCs/>
          <w:color w:val="auto"/>
          <w:lang w:eastAsia="zh-CN"/>
        </w:rPr>
        <w:t>3</w:t>
      </w:r>
      <w:r>
        <w:rPr>
          <w:color w:val="auto"/>
          <w:lang w:eastAsia="zh-CN"/>
        </w:rPr>
        <w:t xml:space="preserve"> </w:t>
      </w:r>
      <w:r>
        <w:rPr>
          <w:rFonts w:hint="eastAsia"/>
          <w:color w:val="auto"/>
          <w:lang w:val="en-US" w:eastAsia="zh-CN"/>
        </w:rPr>
        <w:t xml:space="preserve"> </w:t>
      </w:r>
      <w:r>
        <w:rPr>
          <w:rFonts w:hint="eastAsia"/>
          <w:color w:val="auto"/>
        </w:rPr>
        <w:t>　</w:t>
      </w:r>
      <w:r>
        <w:rPr>
          <w:rFonts w:hint="eastAsia"/>
          <w:color w:val="auto"/>
          <w:lang w:eastAsia="zh-CN"/>
        </w:rPr>
        <w:t>0°状态下，采用保护触发风速及设计雪压进行荷载组合进行验算（保护形态倾角为0°时，可不验算此款）。</w:t>
      </w:r>
    </w:p>
    <w:p w14:paraId="3B1C69B5">
      <w:pPr>
        <w:pStyle w:val="29"/>
        <w:bidi w:val="0"/>
        <w:rPr>
          <w:color w:val="auto"/>
          <w:lang w:eastAsia="zh-CN"/>
        </w:rPr>
      </w:pPr>
      <w:r>
        <w:rPr>
          <w:rFonts w:hint="eastAsia"/>
          <w:b/>
          <w:bCs/>
          <w:color w:val="auto"/>
          <w:lang w:val="en-US" w:eastAsia="zh-CN"/>
        </w:rPr>
        <w:t>6. 7. 13</w:t>
      </w:r>
      <w:r>
        <w:rPr>
          <w:rFonts w:hint="eastAsia"/>
          <w:color w:val="auto"/>
        </w:rPr>
        <w:t>　</w:t>
      </w:r>
      <w:r>
        <w:rPr>
          <w:color w:val="auto"/>
          <w:lang w:eastAsia="zh-CN"/>
        </w:rPr>
        <w:t>钢支架及构件的变形应符合下列规定：</w:t>
      </w:r>
    </w:p>
    <w:p w14:paraId="1AF0AA83">
      <w:pPr>
        <w:pStyle w:val="29"/>
        <w:bidi w:val="0"/>
        <w:ind w:firstLine="562" w:firstLineChars="200"/>
        <w:outlineLvl w:val="9"/>
        <w:rPr>
          <w:color w:val="auto"/>
          <w:lang w:eastAsia="zh-CN"/>
        </w:rPr>
      </w:pPr>
      <w:r>
        <w:rPr>
          <w:b/>
          <w:bCs/>
          <w:color w:val="auto"/>
          <w:lang w:eastAsia="zh-CN"/>
        </w:rPr>
        <w:t>1</w:t>
      </w:r>
      <w:r>
        <w:rPr>
          <w:rFonts w:hint="eastAsia"/>
          <w:color w:val="auto"/>
        </w:rPr>
        <w:t>　</w:t>
      </w:r>
      <w:r>
        <w:rPr>
          <w:color w:val="auto"/>
          <w:lang w:eastAsia="zh-CN"/>
        </w:rPr>
        <w:t>支架的柱顶位移不应大于柱高的1/60</w:t>
      </w:r>
      <w:r>
        <w:rPr>
          <w:rFonts w:hint="eastAsia"/>
          <w:color w:val="auto"/>
          <w:lang w:eastAsia="zh-CN"/>
        </w:rPr>
        <w:t>；</w:t>
      </w:r>
    </w:p>
    <w:p w14:paraId="181C1F32">
      <w:pPr>
        <w:pStyle w:val="29"/>
        <w:bidi w:val="0"/>
        <w:ind w:firstLine="562" w:firstLineChars="200"/>
        <w:outlineLvl w:val="9"/>
        <w:rPr>
          <w:color w:val="auto"/>
          <w:highlight w:val="none"/>
          <w:lang w:eastAsia="zh-CN"/>
        </w:rPr>
      </w:pPr>
      <w:r>
        <w:rPr>
          <w:b/>
          <w:bCs/>
          <w:color w:val="auto"/>
          <w:lang w:eastAsia="zh-CN"/>
        </w:rPr>
        <w:t>2</w:t>
      </w:r>
      <w:r>
        <w:rPr>
          <w:rFonts w:hint="eastAsia"/>
          <w:color w:val="auto"/>
        </w:rPr>
        <w:t>　</w:t>
      </w:r>
      <w:r>
        <w:rPr>
          <w:color w:val="auto"/>
          <w:lang w:eastAsia="zh-CN"/>
        </w:rPr>
        <w:t>受弯构件的挠度容许值不应超过表</w:t>
      </w:r>
      <w:r>
        <w:rPr>
          <w:b/>
          <w:bCs/>
          <w:color w:val="auto"/>
          <w:lang w:eastAsia="zh-CN"/>
        </w:rPr>
        <w:t>6.</w:t>
      </w:r>
      <w:r>
        <w:rPr>
          <w:rFonts w:hint="eastAsia"/>
          <w:b/>
          <w:bCs/>
          <w:color w:val="auto"/>
          <w:lang w:val="en-US" w:eastAsia="zh-CN"/>
        </w:rPr>
        <w:t xml:space="preserve"> </w:t>
      </w:r>
      <w:r>
        <w:rPr>
          <w:rFonts w:hint="eastAsia"/>
          <w:b/>
          <w:bCs/>
          <w:color w:val="auto"/>
          <w:lang w:eastAsia="zh-CN"/>
        </w:rPr>
        <w:t>7</w:t>
      </w:r>
      <w:r>
        <w:rPr>
          <w:b/>
          <w:bCs/>
          <w:color w:val="auto"/>
          <w:lang w:eastAsia="zh-CN"/>
        </w:rPr>
        <w:t>.</w:t>
      </w:r>
      <w:r>
        <w:rPr>
          <w:rFonts w:hint="eastAsia"/>
          <w:b/>
          <w:bCs/>
          <w:color w:val="auto"/>
          <w:lang w:val="en-US" w:eastAsia="zh-CN"/>
        </w:rPr>
        <w:t xml:space="preserve"> </w:t>
      </w:r>
      <w:r>
        <w:rPr>
          <w:b/>
          <w:bCs/>
          <w:color w:val="auto"/>
          <w:lang w:eastAsia="zh-CN"/>
        </w:rPr>
        <w:t>13</w:t>
      </w:r>
      <w:r>
        <w:rPr>
          <w:color w:val="auto"/>
          <w:lang w:eastAsia="zh-CN"/>
        </w:rPr>
        <w:t>的规定。</w:t>
      </w:r>
    </w:p>
    <w:p w14:paraId="5905CFF8">
      <w:pPr>
        <w:pStyle w:val="29"/>
        <w:bidi w:val="0"/>
        <w:ind w:left="0" w:leftChars="0" w:right="0" w:rightChars="0" w:firstLine="0" w:firstLineChars="0"/>
        <w:jc w:val="center"/>
        <w:rPr>
          <w:b/>
          <w:bCs/>
          <w:color w:val="auto"/>
          <w:sz w:val="28"/>
          <w:szCs w:val="28"/>
          <w:highlight w:val="none"/>
          <w:lang w:eastAsia="zh-CN"/>
        </w:rPr>
      </w:pPr>
      <w:bookmarkStart w:id="77" w:name="_Toc26310"/>
      <w:r>
        <w:rPr>
          <w:rFonts w:hint="eastAsia" w:ascii="黑体" w:hAnsi="黑体" w:eastAsia="黑体" w:cs="黑体"/>
          <w:b w:val="0"/>
          <w:bCs w:val="0"/>
          <w:color w:val="auto"/>
          <w:sz w:val="28"/>
          <w:szCs w:val="28"/>
          <w:highlight w:val="none"/>
          <w:lang w:eastAsia="zh-CN"/>
        </w:rPr>
        <w:t>表</w:t>
      </w:r>
      <w:r>
        <w:rPr>
          <w:rFonts w:hint="default" w:ascii="Times New Roman" w:hAnsi="Times New Roman" w:eastAsia="黑体" w:cs="Times New Roman"/>
          <w:b/>
          <w:bCs/>
          <w:color w:val="auto"/>
          <w:sz w:val="28"/>
          <w:szCs w:val="28"/>
          <w:highlight w:val="none"/>
          <w:lang w:eastAsia="zh-CN"/>
        </w:rPr>
        <w:t>6.</w:t>
      </w:r>
      <w:r>
        <w:rPr>
          <w:rFonts w:hint="default" w:ascii="Times New Roman" w:hAnsi="Times New Roman"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lang w:eastAsia="zh-CN"/>
        </w:rPr>
        <w:t>7.</w:t>
      </w:r>
      <w:r>
        <w:rPr>
          <w:rFonts w:hint="eastAsia"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lang w:eastAsia="zh-CN"/>
        </w:rPr>
        <w:t>13</w:t>
      </w:r>
      <w:r>
        <w:rPr>
          <w:rFonts w:hint="eastAsia" w:ascii="黑体" w:hAnsi="黑体" w:eastAsia="黑体" w:cs="黑体"/>
          <w:color w:val="auto"/>
          <w:sz w:val="28"/>
          <w:szCs w:val="28"/>
        </w:rPr>
        <w:t>　</w:t>
      </w:r>
      <w:r>
        <w:rPr>
          <w:rFonts w:hint="eastAsia" w:ascii="黑体" w:hAnsi="黑体" w:eastAsia="黑体" w:cs="黑体"/>
          <w:b w:val="0"/>
          <w:bCs w:val="0"/>
          <w:color w:val="auto"/>
          <w:sz w:val="28"/>
          <w:szCs w:val="28"/>
          <w:highlight w:val="none"/>
          <w:lang w:eastAsia="zh-CN"/>
        </w:rPr>
        <w:t>受弯构件的挠度容许值</w:t>
      </w:r>
      <w:bookmarkEnd w:id="77"/>
    </w:p>
    <w:tbl>
      <w:tblPr>
        <w:tblStyle w:val="20"/>
        <w:tblW w:w="46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585"/>
        <w:gridCol w:w="3024"/>
      </w:tblGrid>
      <w:tr w14:paraId="5124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pct"/>
            <w:gridSpan w:val="2"/>
            <w:vAlign w:val="center"/>
          </w:tcPr>
          <w:p w14:paraId="27D4C3BE">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受弯构件</w:t>
            </w:r>
          </w:p>
        </w:tc>
        <w:tc>
          <w:tcPr>
            <w:tcW w:w="1797" w:type="pct"/>
            <w:vAlign w:val="center"/>
          </w:tcPr>
          <w:p w14:paraId="5E22148E">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挠度容许值</w:t>
            </w:r>
          </w:p>
        </w:tc>
      </w:tr>
      <w:tr w14:paraId="7D93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pct"/>
            <w:gridSpan w:val="2"/>
            <w:vAlign w:val="center"/>
          </w:tcPr>
          <w:p w14:paraId="33CC42C7">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主梁</w:t>
            </w:r>
          </w:p>
        </w:tc>
        <w:tc>
          <w:tcPr>
            <w:tcW w:w="1797" w:type="pct"/>
            <w:vAlign w:val="center"/>
          </w:tcPr>
          <w:p w14:paraId="3201BD0C">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L</w:t>
            </w:r>
            <w:r>
              <w:rPr>
                <w:color w:val="auto"/>
                <w:sz w:val="24"/>
                <w:szCs w:val="24"/>
                <w:highlight w:val="none"/>
              </w:rPr>
              <w:t>/250</w:t>
            </w:r>
          </w:p>
        </w:tc>
      </w:tr>
      <w:tr w14:paraId="1F2E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vAlign w:val="center"/>
          </w:tcPr>
          <w:p w14:paraId="19F42F01">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次梁</w:t>
            </w:r>
          </w:p>
        </w:tc>
        <w:tc>
          <w:tcPr>
            <w:tcW w:w="1536" w:type="pct"/>
            <w:vAlign w:val="center"/>
          </w:tcPr>
          <w:p w14:paraId="764EB2ED">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无边框光伏组件</w:t>
            </w:r>
          </w:p>
        </w:tc>
        <w:tc>
          <w:tcPr>
            <w:tcW w:w="1797" w:type="pct"/>
            <w:vAlign w:val="center"/>
          </w:tcPr>
          <w:p w14:paraId="43184286">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L</w:t>
            </w:r>
            <w:r>
              <w:rPr>
                <w:color w:val="auto"/>
                <w:sz w:val="24"/>
                <w:szCs w:val="24"/>
                <w:highlight w:val="none"/>
              </w:rPr>
              <w:t>/250</w:t>
            </w:r>
          </w:p>
        </w:tc>
      </w:tr>
      <w:tr w14:paraId="349C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vAlign w:val="center"/>
          </w:tcPr>
          <w:p w14:paraId="52DDEFC0">
            <w:pPr>
              <w:pStyle w:val="26"/>
              <w:pageBreakBefore w:val="0"/>
              <w:widowControl w:val="0"/>
              <w:topLinePunct w:val="0"/>
              <w:bidi w:val="0"/>
              <w:ind w:left="0" w:leftChars="0" w:right="0" w:rightChars="0" w:firstLine="0" w:firstLineChars="0"/>
              <w:jc w:val="center"/>
              <w:rPr>
                <w:color w:val="auto"/>
                <w:sz w:val="24"/>
                <w:szCs w:val="24"/>
                <w:highlight w:val="none"/>
              </w:rPr>
            </w:pPr>
          </w:p>
        </w:tc>
        <w:tc>
          <w:tcPr>
            <w:tcW w:w="1536" w:type="pct"/>
            <w:vAlign w:val="center"/>
          </w:tcPr>
          <w:p w14:paraId="27A1A8B1">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有边框光伏组件</w:t>
            </w:r>
          </w:p>
        </w:tc>
        <w:tc>
          <w:tcPr>
            <w:tcW w:w="1797" w:type="pct"/>
            <w:vAlign w:val="center"/>
          </w:tcPr>
          <w:p w14:paraId="1B9B4729">
            <w:pPr>
              <w:pStyle w:val="26"/>
              <w:pageBreakBefore w:val="0"/>
              <w:widowControl w:val="0"/>
              <w:topLinePunct w:val="0"/>
              <w:bidi w:val="0"/>
              <w:ind w:left="0" w:leftChars="0" w:right="0" w:rightChars="0" w:firstLine="0" w:firstLineChars="0"/>
              <w:jc w:val="center"/>
              <w:rPr>
                <w:color w:val="auto"/>
                <w:sz w:val="24"/>
                <w:szCs w:val="24"/>
                <w:highlight w:val="none"/>
              </w:rPr>
            </w:pPr>
            <w:r>
              <w:rPr>
                <w:rFonts w:hint="eastAsia"/>
                <w:color w:val="auto"/>
                <w:sz w:val="24"/>
                <w:szCs w:val="24"/>
                <w:highlight w:val="none"/>
              </w:rPr>
              <w:t>L</w:t>
            </w:r>
            <w:r>
              <w:rPr>
                <w:color w:val="auto"/>
                <w:sz w:val="24"/>
                <w:szCs w:val="24"/>
                <w:highlight w:val="none"/>
              </w:rPr>
              <w:t>/200</w:t>
            </w:r>
          </w:p>
        </w:tc>
      </w:tr>
    </w:tbl>
    <w:p w14:paraId="0F0FDF12">
      <w:pPr>
        <w:pStyle w:val="29"/>
        <w:keepNext w:val="0"/>
        <w:keepLines w:val="0"/>
        <w:pageBreakBefore w:val="0"/>
        <w:widowControl/>
        <w:kinsoku w:val="0"/>
        <w:wordWrap/>
        <w:overflowPunct/>
        <w:topLinePunct w:val="0"/>
        <w:autoSpaceDE/>
        <w:autoSpaceDN/>
        <w:bidi w:val="0"/>
        <w:adjustRightInd w:val="0"/>
        <w:snapToGrid w:val="0"/>
        <w:spacing w:before="0" w:beforeLines="50"/>
        <w:ind w:firstLine="720" w:firstLineChars="300"/>
        <w:textAlignment w:val="baseline"/>
        <w:rPr>
          <w:color w:val="auto"/>
          <w:sz w:val="24"/>
          <w:szCs w:val="24"/>
          <w:lang w:eastAsia="zh-CN"/>
        </w:rPr>
      </w:pPr>
      <w:r>
        <w:rPr>
          <w:color w:val="auto"/>
          <w:sz w:val="24"/>
          <w:szCs w:val="24"/>
          <w:lang w:eastAsia="zh-CN"/>
        </w:rPr>
        <w:t>注：L为受弯构件的跨度。对悬臂梁，L为悬伸长度的2倍。</w:t>
      </w:r>
    </w:p>
    <w:p w14:paraId="3C76015B">
      <w:pPr>
        <w:pStyle w:val="29"/>
        <w:bidi w:val="0"/>
        <w:rPr>
          <w:color w:val="auto"/>
          <w:lang w:eastAsia="zh-CN"/>
        </w:rPr>
      </w:pPr>
      <w:r>
        <w:rPr>
          <w:rFonts w:hint="eastAsia"/>
          <w:b/>
          <w:bCs/>
          <w:color w:val="auto"/>
          <w:lang w:val="en-US" w:eastAsia="zh-CN"/>
        </w:rPr>
        <w:t>6. 7. 14</w:t>
      </w:r>
      <w:r>
        <w:rPr>
          <w:rFonts w:hint="eastAsia"/>
          <w:color w:val="auto"/>
        </w:rPr>
        <w:t>　</w:t>
      </w:r>
      <w:r>
        <w:rPr>
          <w:color w:val="auto"/>
          <w:lang w:eastAsia="zh-CN"/>
        </w:rPr>
        <w:t>支架的防腐蚀应符合下列要求：</w:t>
      </w:r>
    </w:p>
    <w:p w14:paraId="58153887">
      <w:pPr>
        <w:pStyle w:val="29"/>
        <w:bidi w:val="0"/>
        <w:ind w:firstLine="562" w:firstLineChars="200"/>
        <w:rPr>
          <w:color w:val="auto"/>
          <w:lang w:eastAsia="zh-CN"/>
        </w:rPr>
      </w:pPr>
      <w:r>
        <w:rPr>
          <w:b/>
          <w:bCs/>
          <w:color w:val="auto"/>
          <w:lang w:eastAsia="zh-CN"/>
        </w:rPr>
        <w:t>1</w:t>
      </w:r>
      <w:r>
        <w:rPr>
          <w:rFonts w:hint="eastAsia"/>
          <w:color w:val="auto"/>
        </w:rPr>
        <w:t>　</w:t>
      </w:r>
      <w:r>
        <w:rPr>
          <w:color w:val="auto"/>
          <w:lang w:eastAsia="zh-CN"/>
        </w:rPr>
        <w:t>支架在结构类型、布置、构造上应便于支架防腐的检查和维护。支架应结合使用环境、使用年限、施工和维修条件等因素，因地制宜进行防腐蚀设计；大气腐蚀环境分类应</w:t>
      </w:r>
      <w:r>
        <w:rPr>
          <w:rFonts w:hint="eastAsia"/>
          <w:color w:val="auto"/>
          <w:lang w:eastAsia="zh-CN"/>
        </w:rPr>
        <w:t>采用</w:t>
      </w:r>
      <w:r>
        <w:rPr>
          <w:rFonts w:hint="eastAsia"/>
          <w:color w:val="auto"/>
          <w:lang w:val="en-US" w:eastAsia="zh-CN"/>
        </w:rPr>
        <w:t>现行</w:t>
      </w:r>
      <w:r>
        <w:rPr>
          <w:color w:val="auto"/>
          <w:lang w:eastAsia="zh-CN"/>
        </w:rPr>
        <w:t>国家标准《</w:t>
      </w:r>
      <w:r>
        <w:rPr>
          <w:rFonts w:hint="eastAsia"/>
          <w:color w:val="auto"/>
          <w:lang w:eastAsia="zh-CN"/>
        </w:rPr>
        <w:t>光伏发电站设计标准</w:t>
      </w:r>
      <w:r>
        <w:rPr>
          <w:color w:val="auto"/>
          <w:lang w:eastAsia="zh-CN"/>
        </w:rPr>
        <w:t>》GB 50</w:t>
      </w:r>
      <w:r>
        <w:rPr>
          <w:rFonts w:hint="eastAsia"/>
          <w:color w:val="auto"/>
          <w:lang w:eastAsia="zh-CN"/>
        </w:rPr>
        <w:t>797附录D中的数值。</w:t>
      </w:r>
    </w:p>
    <w:p w14:paraId="4C27BE13">
      <w:pPr>
        <w:pStyle w:val="29"/>
        <w:bidi w:val="0"/>
        <w:ind w:firstLine="562" w:firstLineChars="200"/>
        <w:rPr>
          <w:color w:val="auto"/>
          <w:lang w:eastAsia="zh-CN"/>
        </w:rPr>
      </w:pPr>
      <w:r>
        <w:rPr>
          <w:b/>
          <w:bCs/>
          <w:color w:val="auto"/>
          <w:lang w:eastAsia="zh-CN"/>
        </w:rPr>
        <w:t>2</w:t>
      </w:r>
      <w:r>
        <w:rPr>
          <w:rFonts w:hint="eastAsia"/>
          <w:color w:val="auto"/>
        </w:rPr>
        <w:t>　</w:t>
      </w:r>
      <w:r>
        <w:rPr>
          <w:color w:val="auto"/>
          <w:lang w:eastAsia="zh-CN"/>
        </w:rPr>
        <w:t>普通碳素钢支架防腐宜采用热浸镀锌、锌铝双金属涂层、锌铝镁合金镀层等措施，防腐层最小平均厚度应满足使用年限内所处大气腐蚀环境下腐蚀裕量的要求；热浸镀锌层平均厚度不应小于55</w:t>
      </w:r>
      <w:r>
        <w:rPr>
          <w:rFonts w:hint="eastAsia"/>
          <w:color w:val="auto"/>
        </w:rPr>
        <w:t>μ</w:t>
      </w:r>
      <w:r>
        <w:rPr>
          <w:color w:val="auto"/>
          <w:lang w:eastAsia="zh-CN"/>
        </w:rPr>
        <w:t>m。</w:t>
      </w:r>
    </w:p>
    <w:p w14:paraId="0435F167">
      <w:pPr>
        <w:pStyle w:val="29"/>
        <w:bidi w:val="0"/>
        <w:ind w:firstLine="562" w:firstLineChars="200"/>
        <w:rPr>
          <w:color w:val="auto"/>
          <w:lang w:eastAsia="zh-CN"/>
        </w:rPr>
      </w:pPr>
      <w:r>
        <w:rPr>
          <w:b/>
          <w:bCs/>
          <w:color w:val="auto"/>
          <w:lang w:eastAsia="zh-CN"/>
        </w:rPr>
        <w:t>3</w:t>
      </w:r>
      <w:r>
        <w:rPr>
          <w:rFonts w:hint="eastAsia"/>
          <w:color w:val="auto"/>
        </w:rPr>
        <w:t>　</w:t>
      </w:r>
      <w:r>
        <w:rPr>
          <w:color w:val="auto"/>
          <w:lang w:eastAsia="zh-CN"/>
        </w:rPr>
        <w:t>铝合金支架应进行表面防腐处理，可采用阳极氧化处理措施，阳极氧化膜的最小厚度应符合表</w:t>
      </w:r>
      <w:r>
        <w:rPr>
          <w:b/>
          <w:bCs/>
          <w:color w:val="auto"/>
          <w:lang w:eastAsia="zh-CN"/>
        </w:rPr>
        <w:t>6.</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w:t>
      </w:r>
      <w:r>
        <w:rPr>
          <w:b/>
          <w:bCs/>
          <w:color w:val="auto"/>
          <w:lang w:eastAsia="zh-CN"/>
        </w:rPr>
        <w:t>1</w:t>
      </w:r>
      <w:r>
        <w:rPr>
          <w:rFonts w:hint="eastAsia"/>
          <w:b/>
          <w:bCs/>
          <w:color w:val="auto"/>
          <w:lang w:eastAsia="zh-CN"/>
        </w:rPr>
        <w:t>4</w:t>
      </w:r>
      <w:r>
        <w:rPr>
          <w:color w:val="auto"/>
          <w:lang w:eastAsia="zh-CN"/>
        </w:rPr>
        <w:t>的规定。</w:t>
      </w:r>
    </w:p>
    <w:p w14:paraId="48D47C9D">
      <w:pPr>
        <w:pStyle w:val="27"/>
        <w:pageBreakBefore w:val="0"/>
        <w:widowControl w:val="0"/>
        <w:topLinePunct w:val="0"/>
        <w:bidi w:val="0"/>
        <w:ind w:firstLine="0" w:firstLineChars="0"/>
        <w:jc w:val="center"/>
        <w:rPr>
          <w:color w:val="auto"/>
          <w:highlight w:val="none"/>
        </w:rPr>
      </w:pPr>
      <w:r>
        <w:rPr>
          <w:rFonts w:hint="eastAsia" w:ascii="黑体" w:hAnsi="黑体" w:eastAsia="黑体" w:cs="黑体"/>
          <w:b w:val="0"/>
          <w:bCs w:val="0"/>
          <w:color w:val="auto"/>
          <w:sz w:val="28"/>
          <w:szCs w:val="28"/>
          <w:highlight w:val="none"/>
        </w:rPr>
        <w:t>表</w:t>
      </w:r>
      <w:r>
        <w:rPr>
          <w:rFonts w:hint="default" w:ascii="Times New Roman" w:hAnsi="Times New Roman" w:eastAsia="黑体" w:cs="Times New Roman"/>
          <w:b/>
          <w:bCs/>
          <w:color w:val="auto"/>
          <w:sz w:val="28"/>
          <w:szCs w:val="28"/>
          <w:highlight w:val="none"/>
        </w:rPr>
        <w:t>6.</w:t>
      </w:r>
      <w:r>
        <w:rPr>
          <w:rFonts w:hint="default" w:ascii="Times New Roman" w:hAnsi="Times New Roman"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rPr>
        <w:t>7.</w:t>
      </w:r>
      <w:r>
        <w:rPr>
          <w:rFonts w:hint="default" w:ascii="Times New Roman" w:hAnsi="Times New Roman" w:eastAsia="黑体" w:cs="Times New Roman"/>
          <w:b/>
          <w:bCs/>
          <w:color w:val="auto"/>
          <w:sz w:val="28"/>
          <w:szCs w:val="28"/>
          <w:highlight w:val="none"/>
          <w:lang w:val="en-US" w:eastAsia="zh-CN"/>
        </w:rPr>
        <w:t xml:space="preserve"> </w:t>
      </w:r>
      <w:r>
        <w:rPr>
          <w:rFonts w:hint="default" w:ascii="Times New Roman" w:hAnsi="Times New Roman" w:eastAsia="黑体" w:cs="Times New Roman"/>
          <w:b/>
          <w:bCs/>
          <w:color w:val="auto"/>
          <w:sz w:val="28"/>
          <w:szCs w:val="28"/>
          <w:highlight w:val="none"/>
        </w:rPr>
        <w:t>14</w:t>
      </w:r>
      <w:r>
        <w:rPr>
          <w:rFonts w:hint="eastAsia" w:ascii="黑体" w:hAnsi="黑体" w:eastAsia="黑体" w:cs="黑体"/>
          <w:b w:val="0"/>
          <w:bCs w:val="0"/>
          <w:color w:val="auto"/>
          <w:sz w:val="28"/>
          <w:szCs w:val="28"/>
        </w:rPr>
        <w:t>　</w:t>
      </w:r>
      <w:r>
        <w:rPr>
          <w:rFonts w:hint="eastAsia" w:ascii="黑体" w:hAnsi="黑体" w:eastAsia="黑体" w:cs="黑体"/>
          <w:b w:val="0"/>
          <w:bCs w:val="0"/>
          <w:color w:val="auto"/>
          <w:sz w:val="28"/>
          <w:szCs w:val="28"/>
          <w:highlight w:val="none"/>
        </w:rPr>
        <w:t>氧化膜的最小厚度</w:t>
      </w:r>
    </w:p>
    <w:tbl>
      <w:tblPr>
        <w:tblStyle w:val="2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33"/>
        <w:gridCol w:w="2833"/>
      </w:tblGrid>
      <w:tr w14:paraId="55F5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096" w:type="dxa"/>
            <w:vAlign w:val="top"/>
          </w:tcPr>
          <w:p w14:paraId="1CD87BED">
            <w:pPr>
              <w:pStyle w:val="26"/>
              <w:pageBreakBefore w:val="0"/>
              <w:widowControl w:val="0"/>
              <w:topLinePunct w:val="0"/>
              <w:bidi w:val="0"/>
              <w:rPr>
                <w:color w:val="auto"/>
                <w:sz w:val="24"/>
                <w:szCs w:val="24"/>
                <w:highlight w:val="none"/>
              </w:rPr>
            </w:pPr>
            <w:r>
              <w:rPr>
                <w:rFonts w:hint="eastAsia"/>
                <w:color w:val="auto"/>
                <w:sz w:val="24"/>
                <w:szCs w:val="24"/>
                <w:highlight w:val="none"/>
              </w:rPr>
              <w:t>腐蚀环境种类</w:t>
            </w:r>
          </w:p>
        </w:tc>
        <w:tc>
          <w:tcPr>
            <w:tcW w:w="3096" w:type="dxa"/>
            <w:vAlign w:val="top"/>
          </w:tcPr>
          <w:p w14:paraId="76429695">
            <w:pPr>
              <w:pStyle w:val="26"/>
              <w:pageBreakBefore w:val="0"/>
              <w:widowControl w:val="0"/>
              <w:topLinePunct w:val="0"/>
              <w:bidi w:val="0"/>
              <w:rPr>
                <w:color w:val="auto"/>
                <w:sz w:val="24"/>
                <w:szCs w:val="24"/>
                <w:highlight w:val="none"/>
              </w:rPr>
            </w:pPr>
            <w:r>
              <w:rPr>
                <w:rFonts w:hint="eastAsia"/>
                <w:color w:val="auto"/>
                <w:sz w:val="24"/>
                <w:szCs w:val="24"/>
                <w:highlight w:val="none"/>
              </w:rPr>
              <w:t>最小平均膜厚（μm）</w:t>
            </w:r>
          </w:p>
        </w:tc>
        <w:tc>
          <w:tcPr>
            <w:tcW w:w="3096" w:type="dxa"/>
            <w:vAlign w:val="top"/>
          </w:tcPr>
          <w:p w14:paraId="7B78F943">
            <w:pPr>
              <w:pStyle w:val="26"/>
              <w:pageBreakBefore w:val="0"/>
              <w:widowControl w:val="0"/>
              <w:topLinePunct w:val="0"/>
              <w:bidi w:val="0"/>
              <w:rPr>
                <w:color w:val="auto"/>
                <w:sz w:val="24"/>
                <w:szCs w:val="24"/>
                <w:highlight w:val="none"/>
              </w:rPr>
            </w:pPr>
            <w:r>
              <w:rPr>
                <w:rFonts w:hint="eastAsia"/>
                <w:color w:val="auto"/>
                <w:sz w:val="24"/>
                <w:szCs w:val="24"/>
                <w:highlight w:val="none"/>
              </w:rPr>
              <w:t>最小局部膜厚（μm）</w:t>
            </w:r>
          </w:p>
        </w:tc>
      </w:tr>
      <w:tr w14:paraId="4444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vAlign w:val="top"/>
          </w:tcPr>
          <w:p w14:paraId="6086F0DC">
            <w:pPr>
              <w:pStyle w:val="26"/>
              <w:pageBreakBefore w:val="0"/>
              <w:widowControl w:val="0"/>
              <w:topLinePunct w:val="0"/>
              <w:bidi w:val="0"/>
              <w:rPr>
                <w:color w:val="auto"/>
                <w:sz w:val="24"/>
                <w:szCs w:val="24"/>
                <w:highlight w:val="none"/>
              </w:rPr>
            </w:pPr>
            <w:r>
              <w:rPr>
                <w:color w:val="auto"/>
                <w:sz w:val="24"/>
                <w:szCs w:val="24"/>
                <w:highlight w:val="none"/>
              </w:rPr>
              <w:t>C1</w:t>
            </w:r>
            <w:r>
              <w:rPr>
                <w:rFonts w:hint="eastAsia"/>
                <w:color w:val="auto"/>
                <w:sz w:val="24"/>
                <w:szCs w:val="24"/>
                <w:highlight w:val="none"/>
              </w:rPr>
              <w:t>、C</w:t>
            </w:r>
            <w:r>
              <w:rPr>
                <w:color w:val="auto"/>
                <w:sz w:val="24"/>
                <w:szCs w:val="24"/>
                <w:highlight w:val="none"/>
              </w:rPr>
              <w:t>2</w:t>
            </w:r>
          </w:p>
        </w:tc>
        <w:tc>
          <w:tcPr>
            <w:tcW w:w="3096" w:type="dxa"/>
            <w:vAlign w:val="top"/>
          </w:tcPr>
          <w:p w14:paraId="24460BD4">
            <w:pPr>
              <w:pStyle w:val="26"/>
              <w:pageBreakBefore w:val="0"/>
              <w:widowControl w:val="0"/>
              <w:topLinePunct w:val="0"/>
              <w:bidi w:val="0"/>
              <w:rPr>
                <w:color w:val="auto"/>
                <w:sz w:val="24"/>
                <w:szCs w:val="24"/>
                <w:highlight w:val="none"/>
              </w:rPr>
            </w:pPr>
            <w:r>
              <w:rPr>
                <w:rFonts w:hint="eastAsia"/>
                <w:color w:val="auto"/>
                <w:sz w:val="24"/>
                <w:szCs w:val="24"/>
                <w:highlight w:val="none"/>
              </w:rPr>
              <w:t>1</w:t>
            </w:r>
            <w:r>
              <w:rPr>
                <w:color w:val="auto"/>
                <w:sz w:val="24"/>
                <w:szCs w:val="24"/>
                <w:highlight w:val="none"/>
              </w:rPr>
              <w:t>5</w:t>
            </w:r>
          </w:p>
        </w:tc>
        <w:tc>
          <w:tcPr>
            <w:tcW w:w="3096" w:type="dxa"/>
            <w:vAlign w:val="top"/>
          </w:tcPr>
          <w:p w14:paraId="194104DE">
            <w:pPr>
              <w:pStyle w:val="26"/>
              <w:pageBreakBefore w:val="0"/>
              <w:widowControl w:val="0"/>
              <w:topLinePunct w:val="0"/>
              <w:bidi w:val="0"/>
              <w:rPr>
                <w:color w:val="auto"/>
                <w:sz w:val="24"/>
                <w:szCs w:val="24"/>
                <w:highlight w:val="none"/>
              </w:rPr>
            </w:pPr>
            <w:r>
              <w:rPr>
                <w:rFonts w:hint="eastAsia"/>
                <w:color w:val="auto"/>
                <w:sz w:val="24"/>
                <w:szCs w:val="24"/>
                <w:highlight w:val="none"/>
              </w:rPr>
              <w:t>1</w:t>
            </w:r>
            <w:r>
              <w:rPr>
                <w:color w:val="auto"/>
                <w:sz w:val="24"/>
                <w:szCs w:val="24"/>
                <w:highlight w:val="none"/>
              </w:rPr>
              <w:t>2</w:t>
            </w:r>
          </w:p>
        </w:tc>
      </w:tr>
      <w:tr w14:paraId="7D0C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vAlign w:val="top"/>
          </w:tcPr>
          <w:p w14:paraId="59752B4C">
            <w:pPr>
              <w:pStyle w:val="26"/>
              <w:pageBreakBefore w:val="0"/>
              <w:widowControl w:val="0"/>
              <w:topLinePunct w:val="0"/>
              <w:bidi w:val="0"/>
              <w:rPr>
                <w:color w:val="auto"/>
                <w:sz w:val="24"/>
                <w:szCs w:val="24"/>
                <w:highlight w:val="none"/>
              </w:rPr>
            </w:pPr>
            <w:r>
              <w:rPr>
                <w:rFonts w:hint="eastAsia"/>
                <w:color w:val="auto"/>
                <w:sz w:val="24"/>
                <w:szCs w:val="24"/>
                <w:highlight w:val="none"/>
              </w:rPr>
              <w:t>C</w:t>
            </w:r>
            <w:r>
              <w:rPr>
                <w:color w:val="auto"/>
                <w:sz w:val="24"/>
                <w:szCs w:val="24"/>
                <w:highlight w:val="none"/>
              </w:rPr>
              <w:t>3</w:t>
            </w:r>
          </w:p>
        </w:tc>
        <w:tc>
          <w:tcPr>
            <w:tcW w:w="3096" w:type="dxa"/>
            <w:vAlign w:val="top"/>
          </w:tcPr>
          <w:p w14:paraId="5180A108">
            <w:pPr>
              <w:pStyle w:val="26"/>
              <w:pageBreakBefore w:val="0"/>
              <w:widowControl w:val="0"/>
              <w:topLinePunct w:val="0"/>
              <w:bidi w:val="0"/>
              <w:rPr>
                <w:color w:val="auto"/>
                <w:sz w:val="24"/>
                <w:szCs w:val="24"/>
                <w:highlight w:val="none"/>
              </w:rPr>
            </w:pPr>
            <w:r>
              <w:rPr>
                <w:rFonts w:hint="eastAsia"/>
                <w:color w:val="auto"/>
                <w:sz w:val="24"/>
                <w:szCs w:val="24"/>
                <w:highlight w:val="none"/>
              </w:rPr>
              <w:t>2</w:t>
            </w:r>
            <w:r>
              <w:rPr>
                <w:color w:val="auto"/>
                <w:sz w:val="24"/>
                <w:szCs w:val="24"/>
                <w:highlight w:val="none"/>
              </w:rPr>
              <w:t>0</w:t>
            </w:r>
          </w:p>
        </w:tc>
        <w:tc>
          <w:tcPr>
            <w:tcW w:w="3096" w:type="dxa"/>
            <w:vAlign w:val="top"/>
          </w:tcPr>
          <w:p w14:paraId="4D3CD222">
            <w:pPr>
              <w:pStyle w:val="26"/>
              <w:pageBreakBefore w:val="0"/>
              <w:widowControl w:val="0"/>
              <w:topLinePunct w:val="0"/>
              <w:bidi w:val="0"/>
              <w:rPr>
                <w:color w:val="auto"/>
                <w:sz w:val="24"/>
                <w:szCs w:val="24"/>
                <w:highlight w:val="none"/>
              </w:rPr>
            </w:pPr>
            <w:r>
              <w:rPr>
                <w:rFonts w:hint="eastAsia"/>
                <w:color w:val="auto"/>
                <w:sz w:val="24"/>
                <w:szCs w:val="24"/>
                <w:highlight w:val="none"/>
              </w:rPr>
              <w:t>1</w:t>
            </w:r>
            <w:r>
              <w:rPr>
                <w:color w:val="auto"/>
                <w:sz w:val="24"/>
                <w:szCs w:val="24"/>
                <w:highlight w:val="none"/>
              </w:rPr>
              <w:t>6</w:t>
            </w:r>
          </w:p>
        </w:tc>
      </w:tr>
      <w:tr w14:paraId="0EF3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vAlign w:val="top"/>
          </w:tcPr>
          <w:p w14:paraId="73BBF445">
            <w:pPr>
              <w:pStyle w:val="26"/>
              <w:pageBreakBefore w:val="0"/>
              <w:widowControl w:val="0"/>
              <w:topLinePunct w:val="0"/>
              <w:bidi w:val="0"/>
              <w:rPr>
                <w:color w:val="auto"/>
                <w:sz w:val="24"/>
                <w:szCs w:val="24"/>
                <w:highlight w:val="none"/>
              </w:rPr>
            </w:pPr>
            <w:r>
              <w:rPr>
                <w:color w:val="auto"/>
                <w:sz w:val="24"/>
                <w:szCs w:val="24"/>
                <w:highlight w:val="none"/>
              </w:rPr>
              <w:t>C4</w:t>
            </w:r>
            <w:r>
              <w:rPr>
                <w:rFonts w:hint="eastAsia"/>
                <w:color w:val="auto"/>
                <w:sz w:val="24"/>
                <w:szCs w:val="24"/>
                <w:highlight w:val="none"/>
              </w:rPr>
              <w:t>、C</w:t>
            </w:r>
            <w:r>
              <w:rPr>
                <w:color w:val="auto"/>
                <w:sz w:val="24"/>
                <w:szCs w:val="24"/>
                <w:highlight w:val="none"/>
              </w:rPr>
              <w:t>5</w:t>
            </w:r>
          </w:p>
        </w:tc>
        <w:tc>
          <w:tcPr>
            <w:tcW w:w="3096" w:type="dxa"/>
            <w:vAlign w:val="top"/>
          </w:tcPr>
          <w:p w14:paraId="46CDA88E">
            <w:pPr>
              <w:pStyle w:val="26"/>
              <w:pageBreakBefore w:val="0"/>
              <w:widowControl w:val="0"/>
              <w:topLinePunct w:val="0"/>
              <w:bidi w:val="0"/>
              <w:rPr>
                <w:color w:val="auto"/>
                <w:sz w:val="24"/>
                <w:szCs w:val="24"/>
                <w:highlight w:val="none"/>
              </w:rPr>
            </w:pPr>
            <w:r>
              <w:rPr>
                <w:rFonts w:hint="eastAsia"/>
                <w:color w:val="auto"/>
                <w:sz w:val="24"/>
                <w:szCs w:val="24"/>
                <w:highlight w:val="none"/>
              </w:rPr>
              <w:t>2</w:t>
            </w:r>
            <w:r>
              <w:rPr>
                <w:color w:val="auto"/>
                <w:sz w:val="24"/>
                <w:szCs w:val="24"/>
                <w:highlight w:val="none"/>
              </w:rPr>
              <w:t>5</w:t>
            </w:r>
          </w:p>
        </w:tc>
        <w:tc>
          <w:tcPr>
            <w:tcW w:w="3096" w:type="dxa"/>
            <w:vAlign w:val="top"/>
          </w:tcPr>
          <w:p w14:paraId="099F0FF2">
            <w:pPr>
              <w:pStyle w:val="26"/>
              <w:pageBreakBefore w:val="0"/>
              <w:widowControl w:val="0"/>
              <w:topLinePunct w:val="0"/>
              <w:bidi w:val="0"/>
              <w:rPr>
                <w:color w:val="auto"/>
                <w:sz w:val="24"/>
                <w:szCs w:val="24"/>
                <w:highlight w:val="none"/>
              </w:rPr>
            </w:pPr>
            <w:r>
              <w:rPr>
                <w:rFonts w:hint="eastAsia"/>
                <w:color w:val="auto"/>
                <w:sz w:val="24"/>
                <w:szCs w:val="24"/>
                <w:highlight w:val="none"/>
              </w:rPr>
              <w:t>2</w:t>
            </w:r>
            <w:r>
              <w:rPr>
                <w:color w:val="auto"/>
                <w:sz w:val="24"/>
                <w:szCs w:val="24"/>
                <w:highlight w:val="none"/>
              </w:rPr>
              <w:t>0</w:t>
            </w:r>
          </w:p>
        </w:tc>
      </w:tr>
    </w:tbl>
    <w:p w14:paraId="34F41F9B">
      <w:pPr>
        <w:pStyle w:val="29"/>
        <w:keepNext w:val="0"/>
        <w:keepLines w:val="0"/>
        <w:pageBreakBefore w:val="0"/>
        <w:widowControl/>
        <w:kinsoku w:val="0"/>
        <w:wordWrap/>
        <w:overflowPunct/>
        <w:topLinePunct w:val="0"/>
        <w:autoSpaceDE/>
        <w:autoSpaceDN/>
        <w:bidi w:val="0"/>
        <w:adjustRightInd w:val="0"/>
        <w:snapToGrid w:val="0"/>
        <w:spacing w:before="0" w:beforeLines="100"/>
        <w:ind w:firstLine="562" w:firstLineChars="200"/>
        <w:textAlignment w:val="baseline"/>
        <w:rPr>
          <w:color w:val="auto"/>
          <w:lang w:eastAsia="zh-CN"/>
        </w:rPr>
      </w:pPr>
      <w:r>
        <w:rPr>
          <w:b/>
          <w:bCs/>
          <w:color w:val="auto"/>
          <w:lang w:eastAsia="zh-CN"/>
        </w:rPr>
        <w:t>4</w:t>
      </w:r>
      <w:r>
        <w:rPr>
          <w:rFonts w:hint="eastAsia"/>
          <w:color w:val="auto"/>
        </w:rPr>
        <w:t>　</w:t>
      </w:r>
      <w:r>
        <w:rPr>
          <w:color w:val="auto"/>
          <w:lang w:eastAsia="zh-CN"/>
        </w:rPr>
        <w:t>连续热镀锌和锌合金镀层钢板及钢带制作的支架，对于腐蚀环境种类C1~C3地区，结构构件镀层的镀锌量不应低于180g/m</w:t>
      </w:r>
      <w:r>
        <w:rPr>
          <w:color w:val="auto"/>
          <w:vertAlign w:val="superscript"/>
          <w:lang w:eastAsia="zh-CN"/>
        </w:rPr>
        <w:t>2</w:t>
      </w:r>
      <w:r>
        <w:rPr>
          <w:color w:val="auto"/>
          <w:lang w:eastAsia="zh-CN"/>
        </w:rPr>
        <w:t>（双面）或镀铝锌量不应低于100g/m</w:t>
      </w:r>
      <w:r>
        <w:rPr>
          <w:color w:val="auto"/>
          <w:vertAlign w:val="superscript"/>
          <w:lang w:eastAsia="zh-CN"/>
        </w:rPr>
        <w:t>2</w:t>
      </w:r>
      <w:r>
        <w:rPr>
          <w:color w:val="auto"/>
          <w:lang w:eastAsia="zh-CN"/>
        </w:rPr>
        <w:t>（双面）；对于腐蚀环境种类 C4、C5地区，镀锌量不应低于275g/m</w:t>
      </w:r>
      <w:r>
        <w:rPr>
          <w:color w:val="auto"/>
          <w:vertAlign w:val="superscript"/>
          <w:lang w:eastAsia="zh-CN"/>
        </w:rPr>
        <w:t>2</w:t>
      </w:r>
      <w:r>
        <w:rPr>
          <w:color w:val="auto"/>
          <w:lang w:eastAsia="zh-CN"/>
        </w:rPr>
        <w:t>（双面）或镀铝锌量不应低于150g/m</w:t>
      </w:r>
      <w:r>
        <w:rPr>
          <w:color w:val="auto"/>
          <w:vertAlign w:val="superscript"/>
          <w:lang w:eastAsia="zh-CN"/>
        </w:rPr>
        <w:t>2</w:t>
      </w:r>
      <w:r>
        <w:rPr>
          <w:color w:val="auto"/>
          <w:lang w:eastAsia="zh-CN"/>
        </w:rPr>
        <w:t>（双面）。</w:t>
      </w:r>
    </w:p>
    <w:p w14:paraId="416CBD85">
      <w:pPr>
        <w:pStyle w:val="29"/>
        <w:bidi w:val="0"/>
        <w:ind w:firstLine="562" w:firstLineChars="200"/>
        <w:rPr>
          <w:color w:val="auto"/>
          <w:lang w:eastAsia="zh-CN"/>
        </w:rPr>
      </w:pPr>
      <w:r>
        <w:rPr>
          <w:rFonts w:hint="eastAsia"/>
          <w:b/>
          <w:bCs/>
          <w:color w:val="auto"/>
          <w:lang w:eastAsia="zh-CN"/>
        </w:rPr>
        <w:t>5</w:t>
      </w:r>
      <w:r>
        <w:rPr>
          <w:rFonts w:hint="eastAsia"/>
          <w:color w:val="auto"/>
        </w:rPr>
        <w:t>　</w:t>
      </w:r>
      <w:r>
        <w:rPr>
          <w:rFonts w:hint="eastAsia"/>
          <w:color w:val="auto"/>
          <w:lang w:eastAsia="zh-CN"/>
        </w:rPr>
        <w:t>执行</w:t>
      </w:r>
      <w:r>
        <w:rPr>
          <w:rFonts w:hint="eastAsia"/>
          <w:color w:val="auto"/>
          <w:lang w:val="en-US" w:eastAsia="zh-CN"/>
        </w:rPr>
        <w:t>现行</w:t>
      </w:r>
      <w:r>
        <w:rPr>
          <w:rFonts w:hint="eastAsia"/>
          <w:color w:val="auto"/>
          <w:lang w:eastAsia="zh-CN"/>
        </w:rPr>
        <w:t>国家标准《耐候结构钢》GB/T 4171的常规耐候钢支架，除应满足使用年限内所处大气环境下腐蚀裕量的要求</w:t>
      </w:r>
      <w:r>
        <w:rPr>
          <w:rFonts w:hint="eastAsia"/>
          <w:color w:val="auto"/>
          <w:lang w:val="en-US" w:eastAsia="zh-CN"/>
        </w:rPr>
        <w:t>外</w:t>
      </w:r>
      <w:r>
        <w:rPr>
          <w:rFonts w:hint="eastAsia"/>
          <w:color w:val="auto"/>
          <w:lang w:eastAsia="zh-CN"/>
        </w:rPr>
        <w:t>，尚应满足腐蚀环境种类C1~C3地区，腐蚀裕量不应小于0.25mm/面，C4及以上地区，腐蚀裕量不应小于0.5mm/面。新型高性能耐候钢支架，使用年限内所处大气环境下的腐蚀裕量可根据专题论证确定。</w:t>
      </w:r>
    </w:p>
    <w:p w14:paraId="792D735E">
      <w:pPr>
        <w:pStyle w:val="29"/>
        <w:bidi w:val="0"/>
        <w:ind w:firstLine="562" w:firstLineChars="200"/>
        <w:rPr>
          <w:rFonts w:hint="default"/>
          <w:color w:val="auto"/>
          <w:lang w:val="en-US" w:eastAsia="zh-CN"/>
        </w:rPr>
      </w:pPr>
      <w:r>
        <w:rPr>
          <w:b/>
          <w:bCs/>
          <w:color w:val="auto"/>
          <w:lang w:eastAsia="zh-CN"/>
        </w:rPr>
        <w:t>6</w:t>
      </w:r>
      <w:r>
        <w:rPr>
          <w:rFonts w:hint="eastAsia"/>
          <w:color w:val="auto"/>
        </w:rPr>
        <w:t>　</w:t>
      </w:r>
      <w:r>
        <w:rPr>
          <w:color w:val="auto"/>
          <w:lang w:eastAsia="zh-CN"/>
        </w:rPr>
        <w:t>其他复合材料制作的支架应满足使用年限内所处大气环境下</w:t>
      </w:r>
      <w:r>
        <w:rPr>
          <w:rFonts w:hint="eastAsia"/>
          <w:color w:val="auto"/>
          <w:lang w:val="en-US" w:eastAsia="zh-CN"/>
        </w:rPr>
        <w:t>耐蚀性和</w:t>
      </w:r>
      <w:r>
        <w:rPr>
          <w:rFonts w:hint="eastAsia"/>
          <w:color w:val="auto"/>
          <w:lang w:eastAsia="zh-CN"/>
        </w:rPr>
        <w:t>耐候</w:t>
      </w:r>
      <w:r>
        <w:rPr>
          <w:rFonts w:hint="eastAsia"/>
          <w:color w:val="auto"/>
          <w:lang w:val="en-US" w:eastAsia="zh-CN"/>
        </w:rPr>
        <w:t>性要求。</w:t>
      </w:r>
    </w:p>
    <w:p w14:paraId="09A6E2FD">
      <w:pPr>
        <w:pStyle w:val="29"/>
        <w:bidi w:val="0"/>
        <w:rPr>
          <w:color w:val="auto"/>
          <w:lang w:eastAsia="zh-CN"/>
        </w:rPr>
      </w:pPr>
      <w:r>
        <w:rPr>
          <w:rFonts w:hint="eastAsia"/>
          <w:b/>
          <w:bCs/>
          <w:color w:val="auto"/>
          <w:lang w:val="en-US" w:eastAsia="zh-CN"/>
        </w:rPr>
        <w:t>6. 7. 15</w:t>
      </w:r>
      <w:r>
        <w:rPr>
          <w:rFonts w:hint="eastAsia"/>
          <w:color w:val="auto"/>
        </w:rPr>
        <w:t>　</w:t>
      </w:r>
      <w:r>
        <w:rPr>
          <w:rFonts w:hint="eastAsia"/>
          <w:color w:val="auto"/>
          <w:lang w:eastAsia="zh-CN"/>
        </w:rPr>
        <w:t>索结构柔性光伏支架设计可遵循现行</w:t>
      </w:r>
      <w:r>
        <w:rPr>
          <w:rFonts w:hint="eastAsia"/>
          <w:color w:val="auto"/>
          <w:lang w:val="en-US" w:eastAsia="zh-CN"/>
        </w:rPr>
        <w:t>相关</w:t>
      </w:r>
      <w:r>
        <w:rPr>
          <w:rFonts w:hint="eastAsia"/>
          <w:color w:val="auto"/>
          <w:lang w:eastAsia="zh-CN"/>
        </w:rPr>
        <w:t>标准；其他光伏支架设计除应满足本规范的相关规定外，尚应符合现行国家行业标准《光伏支架结构设计规程》NB/T 10115的规定。</w:t>
      </w:r>
    </w:p>
    <w:p w14:paraId="55EAE39B">
      <w:pPr>
        <w:pStyle w:val="31"/>
        <w:bidi w:val="0"/>
        <w:outlineLvl w:val="1"/>
        <w:rPr>
          <w:color w:val="auto"/>
          <w:lang w:eastAsia="zh-CN"/>
        </w:rPr>
      </w:pPr>
      <w:bookmarkStart w:id="78" w:name="_Toc28944"/>
      <w:bookmarkStart w:id="79" w:name="_Toc564"/>
      <w:r>
        <w:rPr>
          <w:rFonts w:hint="eastAsia"/>
          <w:b/>
          <w:bCs/>
          <w:color w:val="auto"/>
          <w:lang w:val="en-US" w:eastAsia="zh-CN"/>
        </w:rPr>
        <w:t>6. 8</w:t>
      </w:r>
      <w:r>
        <w:rPr>
          <w:rFonts w:hint="eastAsia"/>
          <w:color w:val="auto"/>
        </w:rPr>
        <w:t>　</w:t>
      </w:r>
      <w:r>
        <w:rPr>
          <w:rFonts w:hint="eastAsia"/>
          <w:color w:val="auto"/>
          <w:lang w:eastAsia="zh-CN"/>
        </w:rPr>
        <w:t>光伏支架基础</w:t>
      </w:r>
      <w:bookmarkEnd w:id="78"/>
      <w:bookmarkEnd w:id="79"/>
    </w:p>
    <w:p w14:paraId="0E429BF4">
      <w:pPr>
        <w:pStyle w:val="29"/>
        <w:bidi w:val="0"/>
        <w:rPr>
          <w:color w:val="auto"/>
          <w:lang w:eastAsia="zh-CN"/>
        </w:rPr>
      </w:pPr>
      <w:r>
        <w:rPr>
          <w:rFonts w:hint="eastAsia"/>
          <w:b/>
          <w:bCs/>
          <w:color w:val="auto"/>
          <w:lang w:val="en-US" w:eastAsia="zh-CN"/>
        </w:rPr>
        <w:t>6. 8. 1</w:t>
      </w:r>
      <w:r>
        <w:rPr>
          <w:rFonts w:hint="eastAsia"/>
          <w:color w:val="auto"/>
        </w:rPr>
        <w:t>　</w:t>
      </w:r>
      <w:r>
        <w:rPr>
          <w:rFonts w:hint="eastAsia"/>
          <w:color w:val="auto"/>
          <w:lang w:eastAsia="zh-CN"/>
        </w:rPr>
        <w:t>支架基础应按承载能力极限状态和正常使用极限状态进行设计。</w:t>
      </w:r>
    </w:p>
    <w:p w14:paraId="2D911E8B">
      <w:pPr>
        <w:pStyle w:val="29"/>
        <w:bidi w:val="0"/>
        <w:rPr>
          <w:color w:val="auto"/>
          <w:lang w:eastAsia="zh-CN"/>
        </w:rPr>
      </w:pPr>
      <w:r>
        <w:rPr>
          <w:rFonts w:hint="eastAsia"/>
          <w:b/>
          <w:bCs/>
          <w:color w:val="auto"/>
          <w:lang w:val="en-US" w:eastAsia="zh-CN"/>
        </w:rPr>
        <w:t>6. 8. 2</w:t>
      </w:r>
      <w:r>
        <w:rPr>
          <w:rFonts w:hint="eastAsia"/>
          <w:color w:val="auto"/>
        </w:rPr>
        <w:t>　</w:t>
      </w:r>
      <w:r>
        <w:rPr>
          <w:rFonts w:hint="eastAsia"/>
          <w:color w:val="auto"/>
          <w:lang w:eastAsia="zh-CN"/>
        </w:rPr>
        <w:t>支架基础设计使用年限应为50年。</w:t>
      </w:r>
    </w:p>
    <w:p w14:paraId="6A21CEB4">
      <w:pPr>
        <w:pStyle w:val="29"/>
        <w:bidi w:val="0"/>
        <w:rPr>
          <w:color w:val="auto"/>
          <w:lang w:eastAsia="zh-CN"/>
        </w:rPr>
      </w:pPr>
      <w:r>
        <w:rPr>
          <w:rFonts w:hint="eastAsia"/>
          <w:b/>
          <w:bCs/>
          <w:color w:val="auto"/>
          <w:lang w:val="en-US" w:eastAsia="zh-CN"/>
        </w:rPr>
        <w:t>6. 8. 3</w:t>
      </w:r>
      <w:r>
        <w:rPr>
          <w:rFonts w:hint="eastAsia"/>
          <w:color w:val="auto"/>
        </w:rPr>
        <w:t>　</w:t>
      </w:r>
      <w:r>
        <w:rPr>
          <w:rFonts w:hint="eastAsia"/>
          <w:color w:val="auto"/>
          <w:lang w:eastAsia="zh-CN"/>
        </w:rPr>
        <w:t>支架基础应按下列规定进行承载力计算和稳定性验算：</w:t>
      </w:r>
    </w:p>
    <w:p w14:paraId="142862D0">
      <w:pPr>
        <w:pStyle w:val="29"/>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eastAsia="zh-CN"/>
        </w:rPr>
        <w:t>各类型基础均应进行竖向承载力计算；</w:t>
      </w:r>
    </w:p>
    <w:p w14:paraId="073F70A6">
      <w:pPr>
        <w:pStyle w:val="29"/>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桩基础应进行水平承载力计算；</w:t>
      </w:r>
    </w:p>
    <w:p w14:paraId="08BBC0CE">
      <w:pPr>
        <w:pStyle w:val="29"/>
        <w:bidi w:val="0"/>
        <w:ind w:firstLine="562" w:firstLineChars="200"/>
        <w:rPr>
          <w:color w:val="auto"/>
          <w:lang w:eastAsia="zh-CN"/>
        </w:rPr>
      </w:pPr>
      <w:r>
        <w:rPr>
          <w:rFonts w:hint="eastAsia"/>
          <w:b/>
          <w:bCs/>
          <w:color w:val="auto"/>
          <w:lang w:eastAsia="zh-CN"/>
        </w:rPr>
        <w:t>3</w:t>
      </w:r>
      <w:r>
        <w:rPr>
          <w:rFonts w:hint="eastAsia"/>
          <w:color w:val="auto"/>
        </w:rPr>
        <w:t>　</w:t>
      </w:r>
      <w:r>
        <w:rPr>
          <w:rFonts w:hint="eastAsia"/>
          <w:color w:val="auto"/>
          <w:lang w:eastAsia="zh-CN"/>
        </w:rPr>
        <w:t>扩展式基础应进行抗滑移、抗倾覆验算；</w:t>
      </w:r>
    </w:p>
    <w:p w14:paraId="3C49090A">
      <w:pPr>
        <w:pStyle w:val="29"/>
        <w:bidi w:val="0"/>
        <w:ind w:firstLine="562" w:firstLineChars="200"/>
        <w:rPr>
          <w:color w:val="auto"/>
          <w:lang w:eastAsia="zh-CN"/>
        </w:rPr>
      </w:pPr>
      <w:r>
        <w:rPr>
          <w:rFonts w:hint="eastAsia"/>
          <w:b/>
          <w:bCs/>
          <w:color w:val="auto"/>
          <w:lang w:eastAsia="zh-CN"/>
        </w:rPr>
        <w:t>4</w:t>
      </w:r>
      <w:r>
        <w:rPr>
          <w:rFonts w:hint="eastAsia"/>
          <w:color w:val="auto"/>
        </w:rPr>
        <w:t>　</w:t>
      </w:r>
      <w:r>
        <w:rPr>
          <w:rFonts w:hint="eastAsia"/>
          <w:color w:val="auto"/>
          <w:lang w:eastAsia="zh-CN"/>
        </w:rPr>
        <w:t>对单立柱单桩基础应进行抗弯承载力验算；</w:t>
      </w:r>
    </w:p>
    <w:p w14:paraId="2E4EDCDE">
      <w:pPr>
        <w:pStyle w:val="29"/>
        <w:bidi w:val="0"/>
        <w:ind w:firstLine="562" w:firstLineChars="200"/>
        <w:rPr>
          <w:color w:val="auto"/>
          <w:lang w:eastAsia="zh-CN"/>
        </w:rPr>
      </w:pPr>
      <w:r>
        <w:rPr>
          <w:rFonts w:hint="eastAsia"/>
          <w:b/>
          <w:bCs/>
          <w:color w:val="auto"/>
          <w:lang w:eastAsia="zh-CN"/>
        </w:rPr>
        <w:t>5</w:t>
      </w:r>
      <w:r>
        <w:rPr>
          <w:rFonts w:hint="eastAsia"/>
          <w:color w:val="auto"/>
        </w:rPr>
        <w:t>　</w:t>
      </w:r>
      <w:r>
        <w:rPr>
          <w:rFonts w:hint="eastAsia"/>
          <w:color w:val="auto"/>
          <w:lang w:eastAsia="zh-CN"/>
        </w:rPr>
        <w:t>承受荷载较大的支架基础应进行基础结构承载力验算；</w:t>
      </w:r>
    </w:p>
    <w:p w14:paraId="2941FACE">
      <w:pPr>
        <w:pStyle w:val="29"/>
        <w:bidi w:val="0"/>
        <w:ind w:firstLine="562" w:firstLineChars="200"/>
        <w:rPr>
          <w:color w:val="auto"/>
          <w:lang w:eastAsia="zh-CN"/>
        </w:rPr>
      </w:pPr>
      <w:r>
        <w:rPr>
          <w:rFonts w:hint="eastAsia"/>
          <w:b/>
          <w:bCs/>
          <w:color w:val="auto"/>
          <w:lang w:eastAsia="zh-CN"/>
        </w:rPr>
        <w:t>6</w:t>
      </w:r>
      <w:r>
        <w:rPr>
          <w:rFonts w:hint="eastAsia"/>
          <w:color w:val="auto"/>
        </w:rPr>
        <w:t>　</w:t>
      </w:r>
      <w:r>
        <w:rPr>
          <w:rFonts w:hint="eastAsia"/>
          <w:color w:val="auto"/>
          <w:lang w:eastAsia="zh-CN"/>
        </w:rPr>
        <w:t>承受预应力的支架基础应进行地基变形和裂缝宽度验算。</w:t>
      </w:r>
    </w:p>
    <w:p w14:paraId="1BB04456">
      <w:pPr>
        <w:pStyle w:val="29"/>
        <w:bidi w:val="0"/>
        <w:rPr>
          <w:color w:val="auto"/>
          <w:lang w:eastAsia="zh-CN"/>
        </w:rPr>
      </w:pPr>
      <w:r>
        <w:rPr>
          <w:rFonts w:hint="eastAsia"/>
          <w:b/>
          <w:bCs/>
          <w:color w:val="auto"/>
          <w:lang w:val="en-US" w:eastAsia="zh-CN"/>
        </w:rPr>
        <w:t>6. 8. 4</w:t>
      </w:r>
      <w:r>
        <w:rPr>
          <w:rFonts w:hint="eastAsia"/>
          <w:color w:val="auto"/>
        </w:rPr>
        <w:t>　</w:t>
      </w:r>
      <w:r>
        <w:rPr>
          <w:rFonts w:hint="eastAsia"/>
          <w:color w:val="auto"/>
          <w:lang w:eastAsia="zh-CN"/>
        </w:rPr>
        <w:t>支架基础设计时，采用的作用效应与相应的抗力限值应符合下列规定：</w:t>
      </w:r>
    </w:p>
    <w:p w14:paraId="6096A150">
      <w:pPr>
        <w:pStyle w:val="29"/>
        <w:bidi w:val="0"/>
        <w:ind w:firstLine="562" w:firstLineChars="200"/>
        <w:rPr>
          <w:color w:val="auto"/>
          <w:lang w:eastAsia="zh-CN"/>
        </w:rPr>
      </w:pPr>
      <w:r>
        <w:rPr>
          <w:b/>
          <w:bCs/>
          <w:color w:val="auto"/>
          <w:lang w:eastAsia="zh-CN"/>
        </w:rPr>
        <w:t>1</w:t>
      </w:r>
      <w:r>
        <w:rPr>
          <w:rFonts w:hint="eastAsia"/>
          <w:color w:val="auto"/>
        </w:rPr>
        <w:t>　</w:t>
      </w:r>
      <w:r>
        <w:rPr>
          <w:rFonts w:hint="eastAsia"/>
          <w:color w:val="auto"/>
          <w:lang w:eastAsia="zh-CN"/>
        </w:rPr>
        <w:t>确定支架基础底面积、桩、锚杆数量时，应采用作用的标准组合，相应的抗力应采用地基承载力特征值或单桩、单根锚杆承载力特征值；</w:t>
      </w:r>
    </w:p>
    <w:p w14:paraId="25B7CB5F">
      <w:pPr>
        <w:pStyle w:val="29"/>
        <w:bidi w:val="0"/>
        <w:ind w:firstLine="562" w:firstLineChars="200"/>
        <w:rPr>
          <w:color w:val="auto"/>
          <w:lang w:eastAsia="zh-CN"/>
        </w:rPr>
      </w:pPr>
      <w:r>
        <w:rPr>
          <w:b/>
          <w:bCs/>
          <w:color w:val="auto"/>
          <w:lang w:eastAsia="zh-CN"/>
        </w:rPr>
        <w:t>2</w:t>
      </w:r>
      <w:r>
        <w:rPr>
          <w:rFonts w:hint="eastAsia"/>
          <w:color w:val="auto"/>
        </w:rPr>
        <w:t>　</w:t>
      </w:r>
      <w:r>
        <w:rPr>
          <w:rFonts w:hint="eastAsia"/>
          <w:color w:val="auto"/>
          <w:lang w:eastAsia="zh-CN"/>
        </w:rPr>
        <w:t>计算支架基础结构承载力时，应采用作用的基本组合采用相应的分项系数；</w:t>
      </w:r>
    </w:p>
    <w:p w14:paraId="0EF407FC">
      <w:pPr>
        <w:pStyle w:val="29"/>
        <w:bidi w:val="0"/>
        <w:ind w:firstLine="562" w:firstLineChars="200"/>
        <w:rPr>
          <w:color w:val="auto"/>
          <w:lang w:eastAsia="zh-CN"/>
        </w:rPr>
      </w:pPr>
      <w:r>
        <w:rPr>
          <w:b/>
          <w:bCs/>
          <w:color w:val="auto"/>
          <w:lang w:eastAsia="zh-CN"/>
        </w:rPr>
        <w:t>3</w:t>
      </w:r>
      <w:r>
        <w:rPr>
          <w:rFonts w:hint="eastAsia"/>
          <w:color w:val="auto"/>
        </w:rPr>
        <w:t>　</w:t>
      </w:r>
      <w:r>
        <w:rPr>
          <w:rFonts w:hint="eastAsia"/>
          <w:color w:val="auto"/>
          <w:lang w:eastAsia="zh-CN"/>
        </w:rPr>
        <w:t>计算地基基础变形时，应采用作用的准永久组合，不应计入地震作用，相应的限值应为地基基础沉降、变形的允许值；</w:t>
      </w:r>
    </w:p>
    <w:p w14:paraId="56CDF5EC">
      <w:pPr>
        <w:pStyle w:val="29"/>
        <w:bidi w:val="0"/>
        <w:ind w:firstLine="562" w:firstLineChars="200"/>
        <w:rPr>
          <w:color w:val="auto"/>
          <w:lang w:eastAsia="zh-CN"/>
        </w:rPr>
      </w:pPr>
      <w:r>
        <w:rPr>
          <w:b/>
          <w:bCs/>
          <w:color w:val="auto"/>
          <w:lang w:eastAsia="zh-CN"/>
        </w:rPr>
        <w:t>4</w:t>
      </w:r>
      <w:r>
        <w:rPr>
          <w:rFonts w:hint="eastAsia"/>
          <w:color w:val="auto"/>
        </w:rPr>
        <w:t>　</w:t>
      </w:r>
      <w:r>
        <w:rPr>
          <w:rFonts w:hint="eastAsia"/>
          <w:color w:val="auto"/>
          <w:lang w:eastAsia="zh-CN"/>
        </w:rPr>
        <w:t>验算支架基础的稳定和裂缝宽度时，应采用作用的标准组合。</w:t>
      </w:r>
    </w:p>
    <w:p w14:paraId="067D14E1">
      <w:pPr>
        <w:pStyle w:val="29"/>
        <w:bidi w:val="0"/>
        <w:rPr>
          <w:rFonts w:hint="default"/>
          <w:color w:val="auto"/>
          <w:lang w:val="en-US" w:eastAsia="zh-CN"/>
        </w:rPr>
      </w:pPr>
      <w:r>
        <w:rPr>
          <w:rFonts w:hint="eastAsia"/>
          <w:b/>
          <w:bCs/>
          <w:color w:val="auto"/>
          <w:lang w:val="en-US" w:eastAsia="zh-CN"/>
        </w:rPr>
        <w:t>6. 8. 5</w:t>
      </w:r>
      <w:r>
        <w:rPr>
          <w:rFonts w:hint="eastAsia"/>
          <w:color w:val="auto"/>
        </w:rPr>
        <w:t>　</w:t>
      </w:r>
      <w:r>
        <w:rPr>
          <w:rFonts w:hint="eastAsia"/>
          <w:color w:val="auto"/>
          <w:lang w:eastAsia="zh-CN"/>
        </w:rPr>
        <w:t>支架基础设计时，荷载组合的效应设计值应符合下列规定：</w:t>
      </w:r>
    </w:p>
    <w:p w14:paraId="37269C05">
      <w:pPr>
        <w:pStyle w:val="29"/>
        <w:bidi w:val="0"/>
        <w:ind w:firstLine="562" w:firstLineChars="200"/>
        <w:rPr>
          <w:color w:val="auto"/>
          <w:lang w:eastAsia="zh-CN"/>
        </w:rPr>
      </w:pPr>
      <w:r>
        <w:rPr>
          <w:rFonts w:hint="eastAsia"/>
          <w:b/>
          <w:bCs/>
          <w:color w:val="auto"/>
          <w:lang w:eastAsia="zh-CN"/>
        </w:rPr>
        <w:t>1</w:t>
      </w:r>
      <w:r>
        <w:rPr>
          <w:rFonts w:hint="eastAsia"/>
          <w:color w:val="auto"/>
        </w:rPr>
        <w:t>　</w:t>
      </w:r>
      <w:r>
        <w:rPr>
          <w:color w:val="auto"/>
          <w:lang w:eastAsia="zh-CN"/>
        </w:rPr>
        <w:t>承载能力极限状态下，荷载基本组合的效应设计值</w:t>
      </w:r>
      <m:oMath>
        <m:sSub>
          <m:sSubPr>
            <m:ctrlPr>
              <w:rPr>
                <w:rFonts w:hint="eastAsia" w:ascii="Cambria Math" w:hAnsi="Cambria Math"/>
                <w:color w:val="auto"/>
              </w:rPr>
            </m:ctrlPr>
          </m:sSubPr>
          <m:e>
            <m:r>
              <m:rPr>
                <m:sty m:val="p"/>
              </m:rPr>
              <w:rPr>
                <w:rFonts w:ascii="Cambria Math" w:hAnsi="Cambria Math"/>
                <w:color w:val="auto"/>
                <w:lang w:eastAsia="zh-CN"/>
              </w:rPr>
              <m:t>S</m:t>
            </m:r>
            <m:ctrlPr>
              <w:rPr>
                <w:rFonts w:hint="eastAsia" w:ascii="Cambria Math" w:hAnsi="Cambria Math"/>
                <w:color w:val="auto"/>
              </w:rPr>
            </m:ctrlPr>
          </m:e>
          <m:sub>
            <m:r>
              <m:rPr>
                <m:sty m:val="p"/>
              </m:rPr>
              <w:rPr>
                <w:rFonts w:hint="eastAsia" w:ascii="Cambria Math" w:hAnsi="Cambria Math"/>
                <w:color w:val="auto"/>
                <w:lang w:eastAsia="zh-CN"/>
              </w:rPr>
              <m:t>d</m:t>
            </m:r>
            <m:ctrlPr>
              <w:rPr>
                <w:rFonts w:hint="eastAsia" w:ascii="Cambria Math" w:hAnsi="Cambria Math"/>
                <w:color w:val="auto"/>
              </w:rPr>
            </m:ctrlPr>
          </m:sub>
        </m:sSub>
      </m:oMath>
      <w:r>
        <w:rPr>
          <w:color w:val="auto"/>
          <w:lang w:eastAsia="zh-CN"/>
        </w:rPr>
        <w:t>应按</w:t>
      </w:r>
      <w:r>
        <w:rPr>
          <w:b w:val="0"/>
          <w:bCs w:val="0"/>
          <w:color w:val="auto"/>
          <w:lang w:eastAsia="zh-CN"/>
        </w:rPr>
        <w:t>式</w:t>
      </w:r>
      <w:r>
        <w:rPr>
          <w:rFonts w:hint="eastAsia"/>
          <w:b/>
          <w:bCs/>
          <w:color w:val="auto"/>
          <w:lang w:eastAsia="zh-CN"/>
        </w:rPr>
        <w:t>6</w:t>
      </w:r>
      <w:r>
        <w:rPr>
          <w:b/>
          <w:bCs/>
          <w:color w:val="auto"/>
          <w:lang w:eastAsia="zh-CN"/>
        </w:rPr>
        <w:t>.</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w:t>
      </w:r>
      <w:r>
        <w:rPr>
          <w:b/>
          <w:bCs/>
          <w:color w:val="auto"/>
          <w:lang w:eastAsia="zh-CN"/>
        </w:rPr>
        <w:t>5</w:t>
      </w:r>
      <w:r>
        <w:rPr>
          <w:color w:val="auto"/>
          <w:lang w:eastAsia="zh-CN"/>
        </w:rPr>
        <w:t>确定</w:t>
      </w:r>
      <w:r>
        <w:rPr>
          <w:rFonts w:hint="eastAsia"/>
          <w:color w:val="auto"/>
          <w:lang w:eastAsia="zh-CN"/>
        </w:rPr>
        <w:t>；</w:t>
      </w:r>
    </w:p>
    <w:p w14:paraId="1199D522">
      <w:pPr>
        <w:pStyle w:val="29"/>
        <w:bidi w:val="0"/>
        <w:ind w:firstLine="562" w:firstLineChars="200"/>
        <w:rPr>
          <w:color w:val="auto"/>
          <w:lang w:eastAsia="zh-CN"/>
        </w:rPr>
      </w:pPr>
      <w:r>
        <w:rPr>
          <w:b/>
          <w:bCs/>
          <w:color w:val="auto"/>
          <w:lang w:eastAsia="zh-CN"/>
        </w:rPr>
        <w:t>2</w:t>
      </w:r>
      <w:r>
        <w:rPr>
          <w:rFonts w:hint="eastAsia"/>
          <w:color w:val="auto"/>
        </w:rPr>
        <w:t>　</w:t>
      </w:r>
      <w:r>
        <w:rPr>
          <w:rFonts w:hint="eastAsia"/>
          <w:color w:val="auto"/>
          <w:lang w:eastAsia="zh-CN"/>
        </w:rPr>
        <w:t>正常使用极限状态下</w:t>
      </w:r>
      <w:r>
        <w:rPr>
          <w:color w:val="auto"/>
          <w:lang w:eastAsia="zh-CN"/>
        </w:rPr>
        <w:t>，</w:t>
      </w:r>
      <w:r>
        <w:rPr>
          <w:rFonts w:hint="eastAsia"/>
          <w:color w:val="auto"/>
          <w:lang w:eastAsia="zh-CN"/>
        </w:rPr>
        <w:t>荷载标准组合的效应设计值</w:t>
      </w:r>
      <w:bookmarkStart w:id="80" w:name="OLE_LINK7"/>
      <w:bookmarkStart w:id="81" w:name="OLE_LINK6"/>
      <m:oMath>
        <m:sSub>
          <m:sSubPr>
            <m:ctrlPr>
              <w:rPr>
                <w:rFonts w:hint="eastAsia" w:ascii="Cambria Math" w:hAnsi="Cambria Math"/>
                <w:color w:val="auto"/>
              </w:rPr>
            </m:ctrlPr>
          </m:sSubPr>
          <m:e>
            <m:r>
              <m:rPr>
                <m:sty m:val="p"/>
              </m:rPr>
              <w:rPr>
                <w:rFonts w:ascii="Cambria Math" w:hAnsi="Cambria Math"/>
                <w:color w:val="auto"/>
                <w:lang w:eastAsia="zh-CN"/>
              </w:rPr>
              <m:t>S</m:t>
            </m:r>
            <m:ctrlPr>
              <w:rPr>
                <w:rFonts w:hint="eastAsia" w:ascii="Cambria Math" w:hAnsi="Cambria Math"/>
                <w:color w:val="auto"/>
              </w:rPr>
            </m:ctrlPr>
          </m:e>
          <m:sub>
            <m:r>
              <m:rPr>
                <m:sty m:val="p"/>
              </m:rPr>
              <w:rPr>
                <w:rFonts w:ascii="Cambria Math" w:hAnsi="Cambria Math"/>
                <w:color w:val="auto"/>
                <w:lang w:eastAsia="zh-CN"/>
              </w:rPr>
              <m:t>k</m:t>
            </m:r>
            <w:bookmarkEnd w:id="80"/>
            <w:bookmarkEnd w:id="81"/>
            <m:ctrlPr>
              <w:rPr>
                <w:rFonts w:hint="eastAsia" w:ascii="Cambria Math" w:hAnsi="Cambria Math"/>
                <w:color w:val="auto"/>
              </w:rPr>
            </m:ctrlPr>
          </m:sub>
        </m:sSub>
      </m:oMath>
      <w:r>
        <w:rPr>
          <w:rFonts w:hint="eastAsia"/>
          <w:color w:val="auto"/>
          <w:lang w:eastAsia="zh-CN"/>
        </w:rPr>
        <w:t>应按式</w:t>
      </w:r>
      <w:r>
        <w:rPr>
          <w:rFonts w:hint="eastAsia"/>
          <w:b/>
          <w:bCs/>
          <w:color w:val="auto"/>
          <w:lang w:eastAsia="zh-CN"/>
        </w:rPr>
        <w:t>6</w:t>
      </w:r>
      <w:r>
        <w:rPr>
          <w:b/>
          <w:bCs/>
          <w:color w:val="auto"/>
          <w:lang w:eastAsia="zh-CN"/>
        </w:rPr>
        <w:t>.</w:t>
      </w:r>
      <w:r>
        <w:rPr>
          <w:rFonts w:hint="eastAsia"/>
          <w:b/>
          <w:bCs/>
          <w:color w:val="auto"/>
          <w:lang w:val="en-US" w:eastAsia="zh-CN"/>
        </w:rPr>
        <w:t xml:space="preserve"> </w:t>
      </w:r>
      <w:r>
        <w:rPr>
          <w:b/>
          <w:bCs/>
          <w:color w:val="auto"/>
          <w:lang w:eastAsia="zh-CN"/>
        </w:rPr>
        <w:t>7.</w:t>
      </w:r>
      <w:r>
        <w:rPr>
          <w:rFonts w:hint="eastAsia"/>
          <w:b/>
          <w:bCs/>
          <w:color w:val="auto"/>
          <w:lang w:val="en-US" w:eastAsia="zh-CN"/>
        </w:rPr>
        <w:t xml:space="preserve"> 9</w:t>
      </w:r>
      <w:r>
        <w:rPr>
          <w:rFonts w:hint="eastAsia"/>
          <w:color w:val="auto"/>
          <w:lang w:eastAsia="zh-CN"/>
        </w:rPr>
        <w:t>确定。</w:t>
      </w:r>
    </w:p>
    <w:p w14:paraId="264E54C4">
      <w:pPr>
        <w:pStyle w:val="29"/>
        <w:bidi w:val="0"/>
        <w:rPr>
          <w:color w:val="auto"/>
          <w:lang w:eastAsia="zh-CN"/>
        </w:rPr>
      </w:pPr>
      <w:r>
        <w:rPr>
          <w:rFonts w:hint="eastAsia"/>
          <w:b/>
          <w:bCs/>
          <w:color w:val="auto"/>
          <w:lang w:val="en-US" w:eastAsia="zh-CN"/>
        </w:rPr>
        <w:t>6. 8. 6</w:t>
      </w:r>
      <w:r>
        <w:rPr>
          <w:rFonts w:hint="eastAsia"/>
          <w:color w:val="auto"/>
        </w:rPr>
        <w:t>　</w:t>
      </w:r>
      <w:r>
        <w:rPr>
          <w:color w:val="auto"/>
          <w:lang w:eastAsia="zh-CN"/>
        </w:rPr>
        <w:t>风荷载、雪荷载和</w:t>
      </w:r>
      <w:r>
        <w:rPr>
          <w:rFonts w:hint="eastAsia"/>
          <w:color w:val="auto"/>
          <w:lang w:eastAsia="zh-CN"/>
        </w:rPr>
        <w:t>温度作用</w:t>
      </w:r>
      <w:r>
        <w:rPr>
          <w:color w:val="auto"/>
          <w:lang w:eastAsia="zh-CN"/>
        </w:rPr>
        <w:t>应按现行国家标准《建筑结构荷载规范》GB 50009中不小于50年一遇的荷载数值取值</w:t>
      </w:r>
      <w:r>
        <w:rPr>
          <w:rFonts w:hint="eastAsia"/>
          <w:color w:val="auto"/>
          <w:lang w:eastAsia="zh-CN"/>
        </w:rPr>
        <w:t>，并参照临近气象站或气象数据库数据进行复核修正，支架纵向风荷载宜根据实际地形考虑。</w:t>
      </w:r>
      <w:r>
        <w:rPr>
          <w:color w:val="auto"/>
          <w:lang w:eastAsia="zh-CN"/>
        </w:rPr>
        <w:t>支架风荷载的体型系数</w:t>
      </w:r>
      <w:r>
        <w:rPr>
          <w:rFonts w:hint="eastAsia"/>
          <w:color w:val="auto"/>
          <w:lang w:eastAsia="zh-CN"/>
        </w:rPr>
        <w:t>按</w:t>
      </w:r>
      <w:r>
        <w:rPr>
          <w:rFonts w:hint="eastAsia"/>
          <w:color w:val="auto"/>
          <w:lang w:val="en-US" w:eastAsia="zh-CN"/>
        </w:rPr>
        <w:t>现行行业标准</w:t>
      </w:r>
      <w:r>
        <w:rPr>
          <w:rFonts w:hint="eastAsia"/>
          <w:color w:val="auto"/>
          <w:lang w:eastAsia="zh-CN"/>
        </w:rPr>
        <w:t>《光伏支架结构设计规程》N</w:t>
      </w:r>
      <w:r>
        <w:rPr>
          <w:color w:val="auto"/>
          <w:lang w:eastAsia="zh-CN"/>
        </w:rPr>
        <w:t>B/T</w:t>
      </w:r>
      <w:r>
        <w:rPr>
          <w:rFonts w:hint="eastAsia"/>
          <w:color w:val="auto"/>
          <w:lang w:val="en-US" w:eastAsia="zh-CN"/>
        </w:rPr>
        <w:t xml:space="preserve"> </w:t>
      </w:r>
      <w:r>
        <w:rPr>
          <w:color w:val="auto"/>
          <w:lang w:eastAsia="zh-CN"/>
        </w:rPr>
        <w:t>10115</w:t>
      </w:r>
      <w:r>
        <w:rPr>
          <w:rFonts w:hint="eastAsia"/>
          <w:color w:val="auto"/>
          <w:lang w:eastAsia="zh-CN"/>
        </w:rPr>
        <w:t>相关规定取值</w:t>
      </w:r>
      <w:r>
        <w:rPr>
          <w:color w:val="auto"/>
          <w:lang w:eastAsia="zh-CN"/>
        </w:rPr>
        <w:t>，特殊体型的支架结构宜通过风洞试验确定。</w:t>
      </w:r>
    </w:p>
    <w:p w14:paraId="195685B3">
      <w:pPr>
        <w:pStyle w:val="29"/>
        <w:bidi w:val="0"/>
        <w:rPr>
          <w:color w:val="auto"/>
          <w:lang w:eastAsia="zh-CN"/>
        </w:rPr>
      </w:pPr>
      <w:r>
        <w:rPr>
          <w:rFonts w:hint="eastAsia"/>
          <w:b/>
          <w:bCs/>
          <w:color w:val="auto"/>
          <w:lang w:val="en-US" w:eastAsia="zh-CN"/>
        </w:rPr>
        <w:t>6. 8. 7</w:t>
      </w:r>
      <w:r>
        <w:rPr>
          <w:rFonts w:hint="eastAsia"/>
          <w:color w:val="auto"/>
        </w:rPr>
        <w:t>　</w:t>
      </w:r>
      <w:r>
        <w:rPr>
          <w:rFonts w:hint="eastAsia"/>
          <w:color w:val="auto"/>
          <w:lang w:eastAsia="zh-CN"/>
        </w:rPr>
        <w:t>对于承受较大弯矩作用的支架桩基础，在进行基桩水平承载力判别时应考虑弯矩的不利影响，可采用《建筑桩基技术规范》JGJ</w:t>
      </w:r>
      <w:r>
        <w:rPr>
          <w:rFonts w:hint="eastAsia"/>
          <w:color w:val="auto"/>
          <w:lang w:val="en-US" w:eastAsia="zh-CN"/>
        </w:rPr>
        <w:t xml:space="preserve"> </w:t>
      </w:r>
      <w:r>
        <w:rPr>
          <w:rFonts w:hint="eastAsia"/>
          <w:color w:val="auto"/>
          <w:lang w:eastAsia="zh-CN"/>
        </w:rPr>
        <w:t>94附录C的算法或其他可靠方法，将弯矩标准值等效转化为水平力，与桩顶剪力标准值叠加得到等效水平荷载标准值，作为基桩水平承载力判别标准。</w:t>
      </w:r>
    </w:p>
    <w:p w14:paraId="572EC297">
      <w:pPr>
        <w:pStyle w:val="29"/>
        <w:bidi w:val="0"/>
        <w:rPr>
          <w:color w:val="auto"/>
          <w:lang w:eastAsia="zh-CN"/>
        </w:rPr>
      </w:pPr>
      <w:r>
        <w:rPr>
          <w:rFonts w:hint="eastAsia"/>
          <w:b/>
          <w:bCs/>
          <w:color w:val="auto"/>
          <w:lang w:val="en-US" w:eastAsia="zh-CN"/>
        </w:rPr>
        <w:t>6. 8. 8</w:t>
      </w:r>
      <w:r>
        <w:rPr>
          <w:rFonts w:hint="eastAsia"/>
          <w:color w:val="auto"/>
        </w:rPr>
        <w:t>　</w:t>
      </w:r>
      <w:r>
        <w:rPr>
          <w:rFonts w:hint="eastAsia"/>
          <w:color w:val="auto"/>
          <w:lang w:eastAsia="zh-CN"/>
        </w:rPr>
        <w:t>对于桩基础、锚杆基础宜选择有代表性的区域进行现场试验，确定施工工艺的可行性和设计参数的可靠性。</w:t>
      </w:r>
    </w:p>
    <w:p w14:paraId="618A5EF2">
      <w:pPr>
        <w:pStyle w:val="29"/>
        <w:bidi w:val="0"/>
        <w:rPr>
          <w:color w:val="auto"/>
          <w:lang w:eastAsia="zh-CN"/>
        </w:rPr>
      </w:pPr>
      <w:r>
        <w:rPr>
          <w:rFonts w:hint="eastAsia"/>
          <w:b/>
          <w:bCs/>
          <w:color w:val="auto"/>
          <w:lang w:val="en-US" w:eastAsia="zh-CN"/>
        </w:rPr>
        <w:t>6. 8. 9</w:t>
      </w:r>
      <w:r>
        <w:rPr>
          <w:rFonts w:hint="eastAsia"/>
          <w:color w:val="auto"/>
        </w:rPr>
        <w:t>　</w:t>
      </w:r>
      <w:r>
        <w:rPr>
          <w:rFonts w:hint="eastAsia"/>
          <w:color w:val="auto"/>
          <w:lang w:eastAsia="zh-CN"/>
        </w:rPr>
        <w:t>对于新近填土、季节性冻土，应考虑负摩阻力、冻胀力、胀切力对基础承载力和稳定性的影响，地基基础的设计除应满足本规范的相关规定外，尚应符合现行国家标准《建筑地基基础设计规范》GB</w:t>
      </w:r>
      <w:r>
        <w:rPr>
          <w:rFonts w:hint="eastAsia"/>
          <w:color w:val="auto"/>
          <w:lang w:val="en-US" w:eastAsia="zh-CN"/>
        </w:rPr>
        <w:t xml:space="preserve"> </w:t>
      </w:r>
      <w:r>
        <w:rPr>
          <w:rFonts w:hint="eastAsia"/>
          <w:color w:val="auto"/>
          <w:lang w:eastAsia="zh-CN"/>
        </w:rPr>
        <w:t>50007、</w:t>
      </w:r>
      <w:r>
        <w:rPr>
          <w:rFonts w:hint="eastAsia"/>
          <w:color w:val="auto"/>
          <w:lang w:val="en-US" w:eastAsia="zh-CN"/>
        </w:rPr>
        <w:t>现行行业标准</w:t>
      </w:r>
      <w:r>
        <w:rPr>
          <w:rFonts w:hint="eastAsia"/>
          <w:color w:val="auto"/>
          <w:lang w:eastAsia="zh-CN"/>
        </w:rPr>
        <w:t>《建筑桩基技术规范》JGJ</w:t>
      </w:r>
      <w:r>
        <w:rPr>
          <w:rFonts w:hint="eastAsia"/>
          <w:color w:val="auto"/>
          <w:lang w:val="en-US" w:eastAsia="zh-CN"/>
        </w:rPr>
        <w:t xml:space="preserve"> </w:t>
      </w:r>
      <w:r>
        <w:rPr>
          <w:rFonts w:hint="eastAsia"/>
          <w:color w:val="auto"/>
          <w:lang w:eastAsia="zh-CN"/>
        </w:rPr>
        <w:t>94</w:t>
      </w:r>
      <w:r>
        <w:rPr>
          <w:rFonts w:hint="eastAsia"/>
          <w:color w:val="auto"/>
          <w:lang w:val="en-US" w:eastAsia="zh-CN"/>
        </w:rPr>
        <w:t>和</w:t>
      </w:r>
      <w:r>
        <w:rPr>
          <w:rFonts w:hint="eastAsia"/>
          <w:color w:val="auto"/>
          <w:lang w:eastAsia="zh-CN"/>
        </w:rPr>
        <w:t>《冻土地区建筑地基基础设计规范》GJ</w:t>
      </w:r>
      <w:r>
        <w:rPr>
          <w:rFonts w:hint="eastAsia"/>
          <w:color w:val="auto"/>
          <w:lang w:val="en-US" w:eastAsia="zh-CN"/>
        </w:rPr>
        <w:t xml:space="preserve"> </w:t>
      </w:r>
      <w:r>
        <w:rPr>
          <w:rFonts w:hint="eastAsia"/>
          <w:color w:val="auto"/>
          <w:lang w:eastAsia="zh-CN"/>
        </w:rPr>
        <w:t>118的规定。</w:t>
      </w:r>
    </w:p>
    <w:p w14:paraId="16D7E82A">
      <w:pPr>
        <w:pStyle w:val="29"/>
        <w:bidi w:val="0"/>
        <w:rPr>
          <w:color w:val="auto"/>
          <w:lang w:eastAsia="zh-CN"/>
        </w:rPr>
      </w:pPr>
      <w:r>
        <w:rPr>
          <w:rFonts w:hint="eastAsia"/>
          <w:b/>
          <w:bCs/>
          <w:color w:val="auto"/>
          <w:lang w:val="en-US" w:eastAsia="zh-CN"/>
        </w:rPr>
        <w:t>6. 8. 10</w:t>
      </w:r>
      <w:r>
        <w:rPr>
          <w:rFonts w:hint="eastAsia"/>
          <w:color w:val="auto"/>
        </w:rPr>
        <w:t>　</w:t>
      </w:r>
      <w:r>
        <w:rPr>
          <w:rFonts w:hint="eastAsia"/>
          <w:color w:val="auto"/>
          <w:lang w:eastAsia="zh-CN"/>
        </w:rPr>
        <w:t>支架基础耐久性设计应根据支架基础设计使用年限和环境类别确定。对于埋入岩土体内的立柱套筒（管）或钢桩等钢结构构件，宜采用热浸镀锌防腐，镀锌层厚度不应小于8</w:t>
      </w:r>
      <w:r>
        <w:rPr>
          <w:color w:val="auto"/>
          <w:lang w:eastAsia="zh-CN"/>
        </w:rPr>
        <w:t>0</w:t>
      </w:r>
      <w:r>
        <w:rPr>
          <w:rFonts w:hint="eastAsia"/>
          <w:color w:val="auto"/>
        </w:rPr>
        <w:t>μ</w:t>
      </w:r>
      <w:r>
        <w:rPr>
          <w:rFonts w:hint="eastAsia"/>
          <w:color w:val="auto"/>
          <w:lang w:eastAsia="zh-CN"/>
        </w:rPr>
        <w:t>m。支架基础的防腐设计除应满足本规范的相关规定外，尚应符合现行国家标准《工业建筑防腐蚀设计标准》GB</w:t>
      </w:r>
      <w:r>
        <w:rPr>
          <w:rFonts w:hint="eastAsia"/>
          <w:color w:val="auto"/>
          <w:lang w:val="en-US" w:eastAsia="zh-CN"/>
        </w:rPr>
        <w:t xml:space="preserve"> </w:t>
      </w:r>
      <w:r>
        <w:rPr>
          <w:rFonts w:hint="eastAsia"/>
          <w:color w:val="auto"/>
          <w:lang w:eastAsia="zh-CN"/>
        </w:rPr>
        <w:t>50046的规定。</w:t>
      </w:r>
    </w:p>
    <w:p w14:paraId="3D87B180">
      <w:pPr>
        <w:pStyle w:val="29"/>
        <w:bidi w:val="0"/>
        <w:rPr>
          <w:color w:val="auto"/>
          <w:lang w:eastAsia="zh-CN"/>
        </w:rPr>
      </w:pPr>
      <w:r>
        <w:rPr>
          <w:rFonts w:hint="eastAsia"/>
          <w:b/>
          <w:bCs/>
          <w:color w:val="auto"/>
          <w:lang w:val="en-US" w:eastAsia="zh-CN"/>
        </w:rPr>
        <w:t>6. 8. 11</w:t>
      </w:r>
      <w:r>
        <w:rPr>
          <w:rFonts w:hint="eastAsia"/>
          <w:color w:val="auto"/>
        </w:rPr>
        <w:t>　</w:t>
      </w:r>
      <w:r>
        <w:rPr>
          <w:rFonts w:hint="eastAsia"/>
          <w:color w:val="auto"/>
          <w:lang w:eastAsia="zh-CN"/>
        </w:rPr>
        <w:t>扩展式基础的设计，除应满足本规范的相关规定外，尚应符合现行国家标准《建筑地基基础设计规范》GB</w:t>
      </w:r>
      <w:r>
        <w:rPr>
          <w:rFonts w:hint="eastAsia"/>
          <w:color w:val="auto"/>
          <w:lang w:val="en-US" w:eastAsia="zh-CN"/>
        </w:rPr>
        <w:t xml:space="preserve"> </w:t>
      </w:r>
      <w:r>
        <w:rPr>
          <w:rFonts w:hint="eastAsia"/>
          <w:color w:val="auto"/>
          <w:lang w:eastAsia="zh-CN"/>
        </w:rPr>
        <w:t>50007</w:t>
      </w:r>
      <w:r>
        <w:rPr>
          <w:rFonts w:hint="eastAsia"/>
          <w:color w:val="auto"/>
          <w:lang w:val="en-US" w:eastAsia="zh-CN"/>
        </w:rPr>
        <w:t>和</w:t>
      </w:r>
      <w:r>
        <w:rPr>
          <w:rFonts w:hint="eastAsia"/>
          <w:color w:val="auto"/>
          <w:lang w:eastAsia="zh-CN"/>
        </w:rPr>
        <w:t>《太阳能发电站支架基础规范》GB</w:t>
      </w:r>
      <w:r>
        <w:rPr>
          <w:rFonts w:hint="eastAsia"/>
          <w:color w:val="auto"/>
          <w:lang w:val="en-US" w:eastAsia="zh-CN"/>
        </w:rPr>
        <w:t xml:space="preserve"> </w:t>
      </w:r>
      <w:r>
        <w:rPr>
          <w:rFonts w:hint="eastAsia"/>
          <w:color w:val="auto"/>
          <w:lang w:eastAsia="zh-CN"/>
        </w:rPr>
        <w:t>51101的规定。</w:t>
      </w:r>
    </w:p>
    <w:p w14:paraId="40656C22">
      <w:pPr>
        <w:pStyle w:val="29"/>
        <w:bidi w:val="0"/>
        <w:rPr>
          <w:rFonts w:hint="eastAsia"/>
          <w:color w:val="auto"/>
          <w:lang w:eastAsia="zh-CN"/>
        </w:rPr>
      </w:pPr>
      <w:r>
        <w:rPr>
          <w:rFonts w:hint="eastAsia"/>
          <w:b/>
          <w:bCs/>
          <w:color w:val="auto"/>
          <w:lang w:val="en-US" w:eastAsia="zh-CN"/>
        </w:rPr>
        <w:t>6. 8. 12</w:t>
      </w:r>
      <w:r>
        <w:rPr>
          <w:rFonts w:hint="eastAsia"/>
          <w:color w:val="auto"/>
        </w:rPr>
        <w:t>　</w:t>
      </w:r>
      <w:r>
        <w:rPr>
          <w:rFonts w:hint="eastAsia"/>
          <w:color w:val="auto"/>
          <w:lang w:eastAsia="zh-CN"/>
        </w:rPr>
        <w:t>桩基础、锚杆基础的设计，除应满足本规范的相关规定外，尚应符合现行国家标准《建筑地基基础设计规范》GB</w:t>
      </w:r>
      <w:r>
        <w:rPr>
          <w:rFonts w:hint="eastAsia"/>
          <w:color w:val="auto"/>
          <w:lang w:val="en-US" w:eastAsia="zh-CN"/>
        </w:rPr>
        <w:t xml:space="preserve"> </w:t>
      </w:r>
      <w:r>
        <w:rPr>
          <w:rFonts w:hint="eastAsia"/>
          <w:color w:val="auto"/>
          <w:lang w:eastAsia="zh-CN"/>
        </w:rPr>
        <w:t>50007、《太阳能发电站支架基础技术规范》GB</w:t>
      </w:r>
      <w:r>
        <w:rPr>
          <w:rFonts w:hint="eastAsia"/>
          <w:color w:val="auto"/>
          <w:lang w:val="en-US" w:eastAsia="zh-CN"/>
        </w:rPr>
        <w:t xml:space="preserve"> </w:t>
      </w:r>
      <w:r>
        <w:rPr>
          <w:rFonts w:hint="eastAsia"/>
          <w:color w:val="auto"/>
          <w:lang w:eastAsia="zh-CN"/>
        </w:rPr>
        <w:t>51101的规定</w:t>
      </w:r>
      <w:r>
        <w:rPr>
          <w:rFonts w:hint="eastAsia"/>
          <w:color w:val="auto"/>
          <w:lang w:val="en-US" w:eastAsia="zh-CN"/>
        </w:rPr>
        <w:t>和现行行业标准</w:t>
      </w:r>
      <w:r>
        <w:rPr>
          <w:rFonts w:hint="eastAsia"/>
          <w:color w:val="auto"/>
          <w:lang w:eastAsia="zh-CN"/>
        </w:rPr>
        <w:t>《建筑桩基技术规范》JGJ</w:t>
      </w:r>
      <w:r>
        <w:rPr>
          <w:rFonts w:hint="eastAsia"/>
          <w:color w:val="auto"/>
          <w:lang w:val="en-US" w:eastAsia="zh-CN"/>
        </w:rPr>
        <w:t xml:space="preserve"> </w:t>
      </w:r>
      <w:r>
        <w:rPr>
          <w:rFonts w:hint="eastAsia"/>
          <w:color w:val="auto"/>
          <w:lang w:eastAsia="zh-CN"/>
        </w:rPr>
        <w:t>94的规定。</w:t>
      </w:r>
    </w:p>
    <w:p w14:paraId="3B578C18">
      <w:pPr>
        <w:pStyle w:val="29"/>
        <w:bidi w:val="0"/>
        <w:rPr>
          <w:rFonts w:hint="eastAsia"/>
          <w:color w:val="auto"/>
          <w:lang w:eastAsia="zh-CN"/>
        </w:rPr>
      </w:pPr>
    </w:p>
    <w:p w14:paraId="0DF59146">
      <w:pPr>
        <w:pStyle w:val="29"/>
        <w:bidi w:val="0"/>
        <w:rPr>
          <w:rFonts w:hint="eastAsia"/>
          <w:color w:val="auto"/>
          <w:lang w:eastAsia="zh-CN"/>
        </w:rPr>
      </w:pPr>
    </w:p>
    <w:p w14:paraId="6B382C83">
      <w:pPr>
        <w:pStyle w:val="29"/>
        <w:bidi w:val="0"/>
        <w:rPr>
          <w:rFonts w:hint="eastAsia"/>
          <w:color w:val="auto"/>
          <w:lang w:eastAsia="zh-CN"/>
        </w:rPr>
      </w:pPr>
    </w:p>
    <w:p w14:paraId="070570A8">
      <w:pPr>
        <w:pStyle w:val="29"/>
        <w:bidi w:val="0"/>
        <w:rPr>
          <w:rFonts w:hint="eastAsia"/>
          <w:color w:val="auto"/>
          <w:lang w:eastAsia="zh-CN"/>
        </w:rPr>
      </w:pPr>
    </w:p>
    <w:p w14:paraId="1694DDE8">
      <w:pPr>
        <w:pStyle w:val="29"/>
        <w:bidi w:val="0"/>
        <w:rPr>
          <w:rFonts w:hint="eastAsia"/>
          <w:color w:val="auto"/>
          <w:lang w:eastAsia="zh-CN"/>
        </w:rPr>
      </w:pPr>
    </w:p>
    <w:p w14:paraId="0B9B4DF4">
      <w:pPr>
        <w:pStyle w:val="29"/>
        <w:bidi w:val="0"/>
        <w:rPr>
          <w:rFonts w:hint="eastAsia"/>
          <w:color w:val="auto"/>
          <w:lang w:eastAsia="zh-CN"/>
        </w:rPr>
      </w:pPr>
    </w:p>
    <w:p w14:paraId="54987B7F">
      <w:pPr>
        <w:pStyle w:val="29"/>
        <w:bidi w:val="0"/>
        <w:rPr>
          <w:rFonts w:hint="eastAsia"/>
          <w:color w:val="auto"/>
          <w:lang w:eastAsia="zh-CN"/>
        </w:rPr>
      </w:pPr>
    </w:p>
    <w:p w14:paraId="758B7D29">
      <w:pPr>
        <w:pStyle w:val="29"/>
        <w:bidi w:val="0"/>
        <w:rPr>
          <w:rFonts w:hint="eastAsia"/>
          <w:color w:val="auto"/>
          <w:lang w:eastAsia="zh-CN"/>
        </w:rPr>
      </w:pPr>
    </w:p>
    <w:p w14:paraId="13F5313D">
      <w:pPr>
        <w:pStyle w:val="29"/>
        <w:bidi w:val="0"/>
        <w:rPr>
          <w:rFonts w:hint="eastAsia"/>
          <w:color w:val="auto"/>
          <w:lang w:eastAsia="zh-CN"/>
        </w:rPr>
      </w:pPr>
    </w:p>
    <w:p w14:paraId="325746C4">
      <w:pPr>
        <w:pStyle w:val="29"/>
        <w:bidi w:val="0"/>
        <w:rPr>
          <w:rFonts w:hint="eastAsia"/>
          <w:color w:val="auto"/>
          <w:lang w:eastAsia="zh-CN"/>
        </w:rPr>
      </w:pPr>
    </w:p>
    <w:p w14:paraId="7F68EB39">
      <w:pPr>
        <w:pStyle w:val="29"/>
        <w:bidi w:val="0"/>
        <w:rPr>
          <w:rFonts w:hint="eastAsia"/>
          <w:color w:val="auto"/>
          <w:lang w:eastAsia="zh-CN"/>
        </w:rPr>
      </w:pPr>
    </w:p>
    <w:p w14:paraId="3831066F">
      <w:pPr>
        <w:pStyle w:val="29"/>
        <w:bidi w:val="0"/>
        <w:rPr>
          <w:rFonts w:hint="eastAsia"/>
          <w:color w:val="auto"/>
          <w:lang w:eastAsia="zh-CN"/>
        </w:rPr>
      </w:pPr>
    </w:p>
    <w:p w14:paraId="3111A7AC">
      <w:pPr>
        <w:pStyle w:val="29"/>
        <w:bidi w:val="0"/>
        <w:rPr>
          <w:rFonts w:hint="eastAsia"/>
          <w:color w:val="auto"/>
          <w:lang w:eastAsia="zh-CN"/>
        </w:rPr>
      </w:pPr>
    </w:p>
    <w:p w14:paraId="5C689910">
      <w:pPr>
        <w:pStyle w:val="29"/>
        <w:bidi w:val="0"/>
        <w:rPr>
          <w:rFonts w:hint="eastAsia"/>
          <w:color w:val="auto"/>
          <w:lang w:eastAsia="zh-CN"/>
        </w:rPr>
      </w:pPr>
    </w:p>
    <w:p w14:paraId="20C82FAC">
      <w:pPr>
        <w:pStyle w:val="29"/>
        <w:bidi w:val="0"/>
        <w:rPr>
          <w:rFonts w:hint="eastAsia"/>
          <w:color w:val="auto"/>
          <w:lang w:eastAsia="zh-CN"/>
        </w:rPr>
      </w:pPr>
    </w:p>
    <w:p w14:paraId="038F445C">
      <w:pPr>
        <w:pStyle w:val="29"/>
        <w:bidi w:val="0"/>
        <w:rPr>
          <w:rFonts w:hint="eastAsia"/>
          <w:color w:val="auto"/>
          <w:lang w:eastAsia="zh-CN"/>
        </w:rPr>
      </w:pPr>
    </w:p>
    <w:p w14:paraId="6213D350">
      <w:pPr>
        <w:pStyle w:val="29"/>
        <w:bidi w:val="0"/>
        <w:rPr>
          <w:rFonts w:hint="eastAsia"/>
          <w:color w:val="auto"/>
          <w:lang w:eastAsia="zh-CN"/>
        </w:rPr>
      </w:pPr>
    </w:p>
    <w:p w14:paraId="01D68B8A">
      <w:pPr>
        <w:pStyle w:val="29"/>
        <w:bidi w:val="0"/>
        <w:rPr>
          <w:rFonts w:hint="eastAsia"/>
          <w:color w:val="auto"/>
          <w:lang w:eastAsia="zh-CN"/>
        </w:rPr>
      </w:pPr>
    </w:p>
    <w:p w14:paraId="51ECC0EB">
      <w:pPr>
        <w:pStyle w:val="29"/>
        <w:bidi w:val="0"/>
        <w:rPr>
          <w:rFonts w:hint="eastAsia"/>
          <w:color w:val="auto"/>
          <w:lang w:eastAsia="zh-CN"/>
        </w:rPr>
      </w:pPr>
    </w:p>
    <w:p w14:paraId="387A8B77">
      <w:pPr>
        <w:pStyle w:val="29"/>
        <w:bidi w:val="0"/>
        <w:rPr>
          <w:rFonts w:hint="eastAsia"/>
          <w:color w:val="auto"/>
          <w:lang w:eastAsia="zh-CN"/>
        </w:rPr>
      </w:pPr>
    </w:p>
    <w:p w14:paraId="4796CE22">
      <w:pPr>
        <w:pStyle w:val="29"/>
        <w:bidi w:val="0"/>
        <w:rPr>
          <w:rFonts w:hint="eastAsia"/>
          <w:color w:val="auto"/>
          <w:lang w:eastAsia="zh-CN"/>
        </w:rPr>
      </w:pPr>
    </w:p>
    <w:p w14:paraId="199CE6A4">
      <w:pPr>
        <w:pStyle w:val="30"/>
        <w:bidi w:val="0"/>
        <w:outlineLvl w:val="0"/>
        <w:rPr>
          <w:color w:val="auto"/>
          <w:lang w:eastAsia="zh-CN"/>
        </w:rPr>
      </w:pPr>
      <w:bookmarkStart w:id="82" w:name="bookmark160"/>
      <w:bookmarkEnd w:id="82"/>
      <w:bookmarkStart w:id="83" w:name="_Toc6664"/>
      <w:bookmarkStart w:id="84" w:name="_Toc17539"/>
      <w:bookmarkStart w:id="85" w:name="_Toc24735"/>
      <w:bookmarkStart w:id="86" w:name="_Toc26625"/>
      <w:r>
        <w:rPr>
          <w:rFonts w:hint="eastAsia"/>
          <w:b/>
          <w:bCs/>
          <w:color w:val="auto"/>
          <w:lang w:val="en-US" w:eastAsia="zh-CN"/>
        </w:rPr>
        <w:t>7</w:t>
      </w:r>
      <w:r>
        <w:rPr>
          <w:rFonts w:hint="eastAsia"/>
          <w:color w:val="auto"/>
        </w:rPr>
        <w:t>　</w:t>
      </w:r>
      <w:r>
        <w:rPr>
          <w:rFonts w:hint="eastAsia"/>
          <w:color w:val="auto"/>
          <w:lang w:eastAsia="zh-CN"/>
        </w:rPr>
        <w:t>站区布置</w:t>
      </w:r>
      <w:bookmarkEnd w:id="83"/>
      <w:bookmarkEnd w:id="84"/>
      <w:bookmarkEnd w:id="85"/>
      <w:bookmarkEnd w:id="86"/>
    </w:p>
    <w:p w14:paraId="66ACF358">
      <w:pPr>
        <w:pStyle w:val="31"/>
        <w:bidi w:val="0"/>
        <w:outlineLvl w:val="1"/>
        <w:rPr>
          <w:color w:val="auto"/>
          <w:lang w:eastAsia="zh-CN"/>
        </w:rPr>
      </w:pPr>
      <w:bookmarkStart w:id="87" w:name="_Toc4139"/>
      <w:bookmarkStart w:id="88" w:name="_Toc5278"/>
      <w:bookmarkStart w:id="89" w:name="_Toc17885"/>
      <w:r>
        <w:rPr>
          <w:rFonts w:hint="eastAsia"/>
          <w:b/>
          <w:bCs/>
          <w:color w:val="auto"/>
          <w:lang w:val="en-US" w:eastAsia="zh-CN"/>
        </w:rPr>
        <w:t>7. 1</w:t>
      </w:r>
      <w:r>
        <w:rPr>
          <w:rFonts w:hint="eastAsia"/>
          <w:color w:val="auto"/>
        </w:rPr>
        <w:t>　</w:t>
      </w:r>
      <w:r>
        <w:rPr>
          <w:rFonts w:hint="eastAsia"/>
          <w:color w:val="auto"/>
          <w:lang w:eastAsia="zh-CN"/>
        </w:rPr>
        <w:t>站区总平面布置</w:t>
      </w:r>
      <w:bookmarkEnd w:id="87"/>
      <w:bookmarkEnd w:id="88"/>
      <w:bookmarkEnd w:id="89"/>
    </w:p>
    <w:p w14:paraId="34DF42F7">
      <w:pPr>
        <w:pStyle w:val="29"/>
        <w:bidi w:val="0"/>
        <w:rPr>
          <w:color w:val="auto"/>
          <w:lang w:eastAsia="zh-CN"/>
        </w:rPr>
      </w:pPr>
      <w:r>
        <w:rPr>
          <w:rFonts w:hint="eastAsia"/>
          <w:b/>
          <w:bCs/>
          <w:color w:val="auto"/>
          <w:lang w:val="en-US" w:eastAsia="zh-CN"/>
        </w:rPr>
        <w:t>7. 1. 1</w:t>
      </w:r>
      <w:r>
        <w:rPr>
          <w:rFonts w:hint="eastAsia"/>
          <w:color w:val="auto"/>
        </w:rPr>
        <w:t>　</w:t>
      </w:r>
      <w:r>
        <w:rPr>
          <w:rFonts w:hint="eastAsia"/>
          <w:color w:val="auto"/>
          <w:lang w:eastAsia="zh-CN"/>
        </w:rPr>
        <w:t>站区总平面布置应符合现行国家标准《光伏发电站设计标准》G</w:t>
      </w:r>
      <w:r>
        <w:rPr>
          <w:color w:val="auto"/>
          <w:lang w:eastAsia="zh-CN"/>
        </w:rPr>
        <w:t>B</w:t>
      </w:r>
      <w:r>
        <w:rPr>
          <w:rFonts w:hint="eastAsia"/>
          <w:color w:val="auto"/>
          <w:lang w:val="en-US" w:eastAsia="zh-CN"/>
        </w:rPr>
        <w:t xml:space="preserve"> </w:t>
      </w:r>
      <w:r>
        <w:rPr>
          <w:color w:val="auto"/>
          <w:lang w:eastAsia="zh-CN"/>
        </w:rPr>
        <w:t>50797</w:t>
      </w:r>
      <w:r>
        <w:rPr>
          <w:rFonts w:hint="eastAsia"/>
          <w:color w:val="auto"/>
          <w:lang w:eastAsia="zh-CN"/>
        </w:rPr>
        <w:t>的规定</w:t>
      </w:r>
      <w:r>
        <w:rPr>
          <w:rFonts w:hint="eastAsia"/>
          <w:color w:val="auto"/>
          <w:lang w:val="en-US" w:eastAsia="zh-CN"/>
        </w:rPr>
        <w:t>。</w:t>
      </w:r>
    </w:p>
    <w:p w14:paraId="3C49213B">
      <w:pPr>
        <w:pStyle w:val="29"/>
        <w:bidi w:val="0"/>
        <w:rPr>
          <w:rFonts w:hint="eastAsia"/>
          <w:color w:val="auto"/>
          <w:lang w:val="en-US" w:eastAsia="zh-CN"/>
        </w:rPr>
      </w:pPr>
      <w:r>
        <w:rPr>
          <w:rFonts w:hint="eastAsia"/>
          <w:b/>
          <w:bCs/>
          <w:color w:val="auto"/>
          <w:lang w:val="en-US" w:eastAsia="zh-CN"/>
        </w:rPr>
        <w:t>7. 1. 2</w:t>
      </w:r>
      <w:r>
        <w:rPr>
          <w:rFonts w:hint="eastAsia"/>
          <w:color w:val="auto"/>
        </w:rPr>
        <w:t>　</w:t>
      </w:r>
      <w:r>
        <w:rPr>
          <w:rFonts w:hint="eastAsia"/>
          <w:color w:val="auto"/>
          <w:lang w:eastAsia="zh-CN"/>
        </w:rPr>
        <w:t>站区总平面布置应结合</w:t>
      </w:r>
      <w:r>
        <w:rPr>
          <w:rFonts w:hint="eastAsia"/>
          <w:color w:val="auto"/>
          <w:lang w:val="en-US" w:eastAsia="zh-CN"/>
        </w:rPr>
        <w:t>站</w:t>
      </w:r>
      <w:r>
        <w:rPr>
          <w:rFonts w:hint="eastAsia"/>
          <w:color w:val="auto"/>
          <w:lang w:eastAsia="zh-CN"/>
        </w:rPr>
        <w:t>址地形地貌条件、地表冲刷情况进行场区截排水设计。</w:t>
      </w:r>
    </w:p>
    <w:p w14:paraId="0CF3266D">
      <w:pPr>
        <w:pStyle w:val="31"/>
        <w:bidi w:val="0"/>
        <w:outlineLvl w:val="1"/>
        <w:rPr>
          <w:color w:val="auto"/>
          <w:lang w:eastAsia="zh-CN"/>
        </w:rPr>
      </w:pPr>
      <w:bookmarkStart w:id="90" w:name="_Toc10379"/>
      <w:bookmarkStart w:id="91" w:name="_Toc21522"/>
      <w:bookmarkStart w:id="92" w:name="_Toc8494"/>
      <w:r>
        <w:rPr>
          <w:rFonts w:hint="eastAsia"/>
          <w:b/>
          <w:bCs/>
          <w:color w:val="auto"/>
          <w:lang w:val="en-US" w:eastAsia="zh-CN"/>
        </w:rPr>
        <w:t>7. 2</w:t>
      </w:r>
      <w:r>
        <w:rPr>
          <w:rFonts w:hint="eastAsia"/>
          <w:color w:val="auto"/>
        </w:rPr>
        <w:t>　</w:t>
      </w:r>
      <w:r>
        <w:rPr>
          <w:rFonts w:hint="eastAsia"/>
          <w:color w:val="auto"/>
          <w:lang w:eastAsia="zh-CN"/>
        </w:rPr>
        <w:t>光伏方阵布置</w:t>
      </w:r>
      <w:bookmarkEnd w:id="90"/>
      <w:bookmarkEnd w:id="91"/>
      <w:bookmarkEnd w:id="92"/>
    </w:p>
    <w:p w14:paraId="5627935D">
      <w:pPr>
        <w:pStyle w:val="29"/>
        <w:bidi w:val="0"/>
        <w:rPr>
          <w:color w:val="auto"/>
          <w:lang w:eastAsia="zh-CN"/>
        </w:rPr>
      </w:pPr>
      <w:r>
        <w:rPr>
          <w:rFonts w:hint="eastAsia"/>
          <w:b/>
          <w:bCs/>
          <w:color w:val="auto"/>
          <w:lang w:val="en-US" w:eastAsia="zh-CN"/>
        </w:rPr>
        <w:t>7. 2. 1</w:t>
      </w:r>
      <w:r>
        <w:rPr>
          <w:rFonts w:hint="eastAsia"/>
          <w:color w:val="auto"/>
        </w:rPr>
        <w:t>　</w:t>
      </w:r>
      <w:r>
        <w:rPr>
          <w:rFonts w:hint="eastAsia"/>
          <w:color w:val="auto"/>
          <w:lang w:eastAsia="zh-CN"/>
        </w:rPr>
        <w:t>阵列布置宜采用东西向随坡就势布置，</w:t>
      </w:r>
      <w:r>
        <w:rPr>
          <w:rFonts w:hint="eastAsia"/>
          <w:color w:val="auto"/>
          <w:lang w:val="en-US" w:eastAsia="zh-CN"/>
        </w:rPr>
        <w:t>站</w:t>
      </w:r>
      <w:r>
        <w:rPr>
          <w:rFonts w:hint="eastAsia"/>
          <w:color w:val="auto"/>
          <w:lang w:eastAsia="zh-CN"/>
        </w:rPr>
        <w:t>址地形坡度较陡或涉及高台地时宜采用顺等高线或</w:t>
      </w:r>
      <w:r>
        <w:rPr>
          <w:rFonts w:hint="eastAsia"/>
          <w:color w:val="auto"/>
          <w:lang w:val="en-US" w:eastAsia="zh-CN"/>
        </w:rPr>
        <w:t>顺</w:t>
      </w:r>
      <w:r>
        <w:rPr>
          <w:rFonts w:hint="eastAsia"/>
          <w:color w:val="auto"/>
          <w:lang w:eastAsia="zh-CN"/>
        </w:rPr>
        <w:t>台地</w:t>
      </w:r>
      <w:r>
        <w:rPr>
          <w:rFonts w:hint="eastAsia"/>
          <w:color w:val="auto"/>
          <w:lang w:val="en-US" w:eastAsia="zh-CN"/>
        </w:rPr>
        <w:t>方式</w:t>
      </w:r>
      <w:r>
        <w:rPr>
          <w:rFonts w:hint="eastAsia"/>
          <w:color w:val="auto"/>
          <w:lang w:eastAsia="zh-CN"/>
        </w:rPr>
        <w:t>布置，光伏阵列方位角宜位于±55°以内。</w:t>
      </w:r>
    </w:p>
    <w:p w14:paraId="2D2BB6AE">
      <w:pPr>
        <w:pStyle w:val="29"/>
        <w:bidi w:val="0"/>
        <w:rPr>
          <w:color w:val="auto"/>
          <w:lang w:eastAsia="zh-CN"/>
        </w:rPr>
      </w:pPr>
      <w:r>
        <w:rPr>
          <w:rFonts w:hint="eastAsia"/>
          <w:b/>
          <w:bCs/>
          <w:color w:val="auto"/>
          <w:lang w:val="en-US" w:eastAsia="zh-CN"/>
        </w:rPr>
        <w:t>7. 2. 2</w:t>
      </w:r>
      <w:r>
        <w:rPr>
          <w:rFonts w:hint="eastAsia"/>
          <w:color w:val="auto"/>
        </w:rPr>
        <w:t>　</w:t>
      </w:r>
      <w:r>
        <w:rPr>
          <w:rFonts w:hint="eastAsia"/>
          <w:color w:val="auto"/>
          <w:lang w:eastAsia="zh-CN"/>
        </w:rPr>
        <w:t>光伏方阵各排、列的间距一般宜使每天9：00～15：00（当地真太阳时）时段内东西向、南北向互不遮挡，经技术经济论证后可增加遮挡时长进行布置。</w:t>
      </w:r>
    </w:p>
    <w:p w14:paraId="773E16F9">
      <w:pPr>
        <w:pStyle w:val="29"/>
        <w:bidi w:val="0"/>
        <w:rPr>
          <w:color w:val="auto"/>
          <w:lang w:eastAsia="zh-CN"/>
        </w:rPr>
      </w:pPr>
      <w:r>
        <w:rPr>
          <w:rFonts w:hint="eastAsia"/>
          <w:b/>
          <w:bCs/>
          <w:color w:val="auto"/>
          <w:lang w:val="en-US" w:eastAsia="zh-CN"/>
        </w:rPr>
        <w:t>7. 2. 3</w:t>
      </w:r>
      <w:r>
        <w:rPr>
          <w:rFonts w:hint="eastAsia"/>
          <w:color w:val="auto"/>
        </w:rPr>
        <w:t>　</w:t>
      </w:r>
      <w:r>
        <w:rPr>
          <w:rFonts w:hint="eastAsia"/>
          <w:color w:val="auto"/>
          <w:lang w:eastAsia="zh-CN"/>
        </w:rPr>
        <w:t>接入同一组串光伏组件朝向偏差不应超过5°，接入同一路MPPT光伏组串朝向偏差不应超过15°。</w:t>
      </w:r>
    </w:p>
    <w:p w14:paraId="4332A343">
      <w:pPr>
        <w:pStyle w:val="29"/>
        <w:bidi w:val="0"/>
        <w:rPr>
          <w:color w:val="auto"/>
          <w:lang w:eastAsia="zh-CN"/>
        </w:rPr>
      </w:pPr>
      <w:r>
        <w:rPr>
          <w:rFonts w:hint="eastAsia"/>
          <w:b/>
          <w:bCs/>
          <w:color w:val="auto"/>
          <w:lang w:val="en-US" w:eastAsia="zh-CN"/>
        </w:rPr>
        <w:t>7. 2. 4</w:t>
      </w:r>
      <w:r>
        <w:rPr>
          <w:rFonts w:hint="eastAsia"/>
          <w:color w:val="auto"/>
        </w:rPr>
        <w:t>　</w:t>
      </w:r>
      <w:r>
        <w:rPr>
          <w:rFonts w:hint="eastAsia"/>
          <w:color w:val="auto"/>
          <w:lang w:val="en-US" w:eastAsia="zh-CN"/>
        </w:rPr>
        <w:t>应根据集电线路接线图分析每个汇集节点前所有光伏发电单元相关投资并按给定的投资收益率反算等效利用小时数，当实际等效利用小时数低于反算值时应判定为低效光伏发电单元并舍弃。</w:t>
      </w:r>
    </w:p>
    <w:p w14:paraId="26263057">
      <w:pPr>
        <w:pStyle w:val="29"/>
        <w:bidi w:val="0"/>
        <w:rPr>
          <w:color w:val="auto"/>
          <w:lang w:eastAsia="zh-CN"/>
        </w:rPr>
      </w:pPr>
      <w:r>
        <w:rPr>
          <w:rFonts w:hint="eastAsia"/>
          <w:b/>
          <w:bCs/>
          <w:color w:val="auto"/>
          <w:lang w:val="en-US" w:eastAsia="zh-CN"/>
        </w:rPr>
        <w:t>7. 2. 5</w:t>
      </w:r>
      <w:r>
        <w:rPr>
          <w:rFonts w:hint="eastAsia"/>
          <w:color w:val="auto"/>
        </w:rPr>
        <w:t>　</w:t>
      </w:r>
      <w:r>
        <w:rPr>
          <w:rFonts w:hint="eastAsia"/>
          <w:color w:val="auto"/>
          <w:lang w:eastAsia="zh-CN"/>
        </w:rPr>
        <w:t>光伏方阵布置应避开排水不畅的凹地，当光伏场区涉及冲沟发育区时，布置光伏发电方阵时应做避让或采取防止冲沟发育、保护支架基础的措施。</w:t>
      </w:r>
    </w:p>
    <w:p w14:paraId="5CA20DEE">
      <w:pPr>
        <w:pStyle w:val="29"/>
        <w:bidi w:val="0"/>
        <w:rPr>
          <w:color w:val="auto"/>
          <w:lang w:eastAsia="zh-CN"/>
        </w:rPr>
      </w:pPr>
      <w:r>
        <w:rPr>
          <w:rFonts w:hint="eastAsia"/>
          <w:b/>
          <w:bCs/>
          <w:color w:val="auto"/>
          <w:lang w:val="en-US" w:eastAsia="zh-CN"/>
        </w:rPr>
        <w:t>7. 2. 6</w:t>
      </w:r>
      <w:r>
        <w:rPr>
          <w:rFonts w:hint="eastAsia"/>
          <w:color w:val="auto"/>
        </w:rPr>
        <w:t>　</w:t>
      </w:r>
      <w:r>
        <w:rPr>
          <w:rFonts w:hint="eastAsia"/>
          <w:color w:val="auto"/>
          <w:lang w:eastAsia="zh-CN"/>
        </w:rPr>
        <w:t>光伏方阵划分应充分考虑地形条件，避免单个光伏方阵划分跨越大型冲沟或不可避让敏感因素；关键设备（如逆变器、</w:t>
      </w:r>
      <w:r>
        <w:rPr>
          <w:rFonts w:hint="eastAsia"/>
          <w:color w:val="auto"/>
          <w:lang w:val="en-US" w:eastAsia="zh-CN"/>
        </w:rPr>
        <w:t>就地升压</w:t>
      </w:r>
      <w:r>
        <w:rPr>
          <w:rFonts w:hint="eastAsia"/>
          <w:color w:val="auto"/>
          <w:lang w:eastAsia="zh-CN"/>
        </w:rPr>
        <w:t>变压器）</w:t>
      </w:r>
      <w:r>
        <w:rPr>
          <w:rFonts w:hint="eastAsia"/>
          <w:color w:val="auto"/>
          <w:lang w:val="en-US" w:eastAsia="zh-CN"/>
        </w:rPr>
        <w:t>应</w:t>
      </w:r>
      <w:r>
        <w:rPr>
          <w:rFonts w:hint="eastAsia"/>
          <w:color w:val="auto"/>
          <w:lang w:eastAsia="zh-CN"/>
        </w:rPr>
        <w:t>布置</w:t>
      </w:r>
      <w:r>
        <w:rPr>
          <w:rFonts w:hint="eastAsia"/>
          <w:color w:val="auto"/>
          <w:lang w:val="en-US" w:eastAsia="zh-CN"/>
        </w:rPr>
        <w:t>于地形地质较好且</w:t>
      </w:r>
      <w:r>
        <w:rPr>
          <w:rFonts w:hint="eastAsia"/>
          <w:color w:val="auto"/>
          <w:lang w:eastAsia="zh-CN"/>
        </w:rPr>
        <w:t>避开易受山洪、滚石、坍塌、</w:t>
      </w:r>
      <w:r>
        <w:rPr>
          <w:rFonts w:hint="eastAsia"/>
          <w:color w:val="auto"/>
          <w:lang w:val="en-US" w:eastAsia="zh-CN"/>
        </w:rPr>
        <w:t>积水</w:t>
      </w:r>
      <w:r>
        <w:rPr>
          <w:rFonts w:hint="eastAsia"/>
          <w:color w:val="auto"/>
          <w:lang w:eastAsia="zh-CN"/>
        </w:rPr>
        <w:t>影响的区域。</w:t>
      </w:r>
    </w:p>
    <w:p w14:paraId="2D42072D">
      <w:pPr>
        <w:pStyle w:val="29"/>
        <w:bidi w:val="0"/>
        <w:rPr>
          <w:color w:val="auto"/>
          <w:lang w:eastAsia="zh-CN"/>
        </w:rPr>
      </w:pPr>
      <w:r>
        <w:rPr>
          <w:rFonts w:hint="eastAsia"/>
          <w:b/>
          <w:bCs/>
          <w:color w:val="auto"/>
          <w:lang w:val="en-US" w:eastAsia="zh-CN"/>
        </w:rPr>
        <w:t>7. 2. 7</w:t>
      </w:r>
      <w:r>
        <w:rPr>
          <w:rFonts w:hint="eastAsia"/>
          <w:color w:val="auto"/>
        </w:rPr>
        <w:t>　</w:t>
      </w:r>
      <w:r>
        <w:rPr>
          <w:rFonts w:hint="eastAsia"/>
          <w:color w:val="auto"/>
          <w:lang w:eastAsia="zh-CN"/>
        </w:rPr>
        <w:t>光伏组件下沿离地高度应按地方政策要求设计，当无具体规定时应结合植被生长条件、双面光伏组件背面发电增益等进行技术经济论证确定且不低于300mm。</w:t>
      </w:r>
    </w:p>
    <w:p w14:paraId="5CA0C326">
      <w:pPr>
        <w:pStyle w:val="31"/>
        <w:bidi w:val="0"/>
        <w:outlineLvl w:val="1"/>
        <w:rPr>
          <w:color w:val="auto"/>
          <w:lang w:eastAsia="zh-CN"/>
        </w:rPr>
      </w:pPr>
      <w:bookmarkStart w:id="93" w:name="bookmark27"/>
      <w:bookmarkEnd w:id="93"/>
      <w:bookmarkStart w:id="94" w:name="_Toc8852"/>
      <w:bookmarkStart w:id="95" w:name="_Toc20243"/>
      <w:r>
        <w:rPr>
          <w:rFonts w:hint="eastAsia"/>
          <w:b/>
          <w:bCs/>
          <w:color w:val="auto"/>
          <w:lang w:val="en-US" w:eastAsia="zh-CN"/>
        </w:rPr>
        <w:t>7. 3</w:t>
      </w:r>
      <w:r>
        <w:rPr>
          <w:rFonts w:hint="eastAsia"/>
          <w:color w:val="auto"/>
        </w:rPr>
        <w:t>　</w:t>
      </w:r>
      <w:r>
        <w:rPr>
          <w:rFonts w:hint="eastAsia"/>
          <w:color w:val="auto"/>
          <w:lang w:eastAsia="zh-CN"/>
        </w:rPr>
        <w:t>道</w:t>
      </w:r>
      <w:r>
        <w:rPr>
          <w:rFonts w:hint="eastAsia"/>
          <w:color w:val="auto"/>
          <w:lang w:val="en-US" w:eastAsia="zh-CN"/>
        </w:rPr>
        <w:t xml:space="preserve">    </w:t>
      </w:r>
      <w:r>
        <w:rPr>
          <w:rFonts w:hint="eastAsia"/>
          <w:color w:val="auto"/>
          <w:lang w:eastAsia="zh-CN"/>
        </w:rPr>
        <w:t>路</w:t>
      </w:r>
      <w:bookmarkEnd w:id="94"/>
      <w:bookmarkEnd w:id="95"/>
    </w:p>
    <w:p w14:paraId="3B399284">
      <w:pPr>
        <w:pStyle w:val="29"/>
        <w:bidi w:val="0"/>
        <w:rPr>
          <w:color w:val="auto"/>
          <w:lang w:eastAsia="zh-CN"/>
        </w:rPr>
      </w:pPr>
      <w:r>
        <w:rPr>
          <w:rFonts w:hint="eastAsia"/>
          <w:b/>
          <w:bCs/>
          <w:color w:val="auto"/>
          <w:lang w:val="en-US" w:eastAsia="zh-CN"/>
        </w:rPr>
        <w:t>7. 3. 1</w:t>
      </w:r>
      <w:r>
        <w:rPr>
          <w:rFonts w:hint="eastAsia"/>
          <w:color w:val="auto"/>
        </w:rPr>
        <w:t>　</w:t>
      </w:r>
      <w:r>
        <w:rPr>
          <w:rFonts w:hint="eastAsia"/>
          <w:color w:val="auto"/>
          <w:lang w:eastAsia="zh-CN"/>
        </w:rPr>
        <w:t>光伏电站道路设计应满足光伏电站建设期施工组织交通运输及运营期设备检修维护道路需求。</w:t>
      </w:r>
    </w:p>
    <w:p w14:paraId="1D43BE59">
      <w:pPr>
        <w:pStyle w:val="29"/>
        <w:bidi w:val="0"/>
        <w:rPr>
          <w:color w:val="auto"/>
          <w:lang w:eastAsia="zh-CN"/>
        </w:rPr>
      </w:pPr>
      <w:r>
        <w:rPr>
          <w:rFonts w:hint="eastAsia"/>
          <w:b/>
          <w:bCs/>
          <w:color w:val="auto"/>
          <w:lang w:val="en-US" w:eastAsia="zh-CN"/>
        </w:rPr>
        <w:t>7. 3. 2</w:t>
      </w:r>
      <w:r>
        <w:rPr>
          <w:rFonts w:hint="eastAsia"/>
          <w:color w:val="auto"/>
        </w:rPr>
        <w:t>　</w:t>
      </w:r>
      <w:r>
        <w:rPr>
          <w:rFonts w:hint="eastAsia"/>
          <w:color w:val="auto"/>
          <w:lang w:eastAsia="zh-CN"/>
        </w:rPr>
        <w:t>光伏电站道路可划分为进场道路、场内道路</w:t>
      </w:r>
      <w:r>
        <w:rPr>
          <w:rFonts w:hint="eastAsia"/>
          <w:color w:val="auto"/>
          <w:lang w:val="en-US" w:eastAsia="zh-CN"/>
        </w:rPr>
        <w:t>和</w:t>
      </w:r>
      <w:r>
        <w:rPr>
          <w:rFonts w:hint="eastAsia"/>
          <w:color w:val="auto"/>
          <w:lang w:eastAsia="zh-CN"/>
        </w:rPr>
        <w:t>进升压站道路。应根据主要设备的运输重量、尺寸、物资来向及当地道路条件选定进场道路，场内道路据场区布置由进场道路引接。</w:t>
      </w:r>
    </w:p>
    <w:p w14:paraId="5B7D7373">
      <w:pPr>
        <w:pStyle w:val="29"/>
        <w:bidi w:val="0"/>
        <w:rPr>
          <w:color w:val="auto"/>
          <w:lang w:eastAsia="zh-CN"/>
        </w:rPr>
      </w:pPr>
      <w:r>
        <w:rPr>
          <w:rFonts w:hint="eastAsia"/>
          <w:b/>
          <w:bCs/>
          <w:color w:val="auto"/>
          <w:lang w:val="en-US" w:eastAsia="zh-CN"/>
        </w:rPr>
        <w:t>7. 3. 3</w:t>
      </w:r>
      <w:r>
        <w:rPr>
          <w:rFonts w:hint="eastAsia"/>
          <w:color w:val="auto"/>
        </w:rPr>
        <w:t>　</w:t>
      </w:r>
      <w:r>
        <w:rPr>
          <w:rFonts w:hint="eastAsia"/>
          <w:color w:val="auto"/>
          <w:lang w:eastAsia="zh-CN"/>
        </w:rPr>
        <w:t>场内道路设计</w:t>
      </w:r>
      <w:r>
        <w:rPr>
          <w:rFonts w:hint="eastAsia"/>
          <w:color w:val="auto"/>
          <w:lang w:val="en-US" w:eastAsia="zh-CN"/>
        </w:rPr>
        <w:t>参照</w:t>
      </w:r>
      <w:r>
        <w:rPr>
          <w:rFonts w:hint="eastAsia"/>
          <w:color w:val="auto"/>
          <w:lang w:eastAsia="zh-CN"/>
        </w:rPr>
        <w:t>《小交通量农村公路工程技术标准》JTG</w:t>
      </w:r>
      <w:r>
        <w:rPr>
          <w:rFonts w:hint="eastAsia"/>
          <w:color w:val="auto"/>
          <w:lang w:val="en-US" w:eastAsia="zh-CN"/>
        </w:rPr>
        <w:t xml:space="preserve"> </w:t>
      </w:r>
      <w:r>
        <w:rPr>
          <w:rFonts w:hint="eastAsia"/>
          <w:color w:val="auto"/>
          <w:lang w:eastAsia="zh-CN"/>
        </w:rPr>
        <w:t>2111四级公路（II类）执行。进升压站道路路基宽度</w:t>
      </w:r>
      <w:r>
        <w:rPr>
          <w:rFonts w:hint="eastAsia"/>
          <w:color w:val="auto"/>
          <w:lang w:val="en-US" w:eastAsia="zh-CN"/>
        </w:rPr>
        <w:t>按</w:t>
      </w:r>
      <w:r>
        <w:rPr>
          <w:rFonts w:hint="eastAsia"/>
          <w:color w:val="auto"/>
          <w:lang w:eastAsia="zh-CN"/>
        </w:rPr>
        <w:t>《光伏发电站设计标准》GB</w:t>
      </w:r>
      <w:r>
        <w:rPr>
          <w:rFonts w:hint="eastAsia"/>
          <w:color w:val="auto"/>
          <w:lang w:val="en-US" w:eastAsia="zh-CN"/>
        </w:rPr>
        <w:t xml:space="preserve"> </w:t>
      </w:r>
      <w:r>
        <w:rPr>
          <w:rFonts w:hint="eastAsia"/>
          <w:color w:val="auto"/>
          <w:lang w:eastAsia="zh-CN"/>
        </w:rPr>
        <w:t>50797执行。</w:t>
      </w:r>
    </w:p>
    <w:p w14:paraId="76547049">
      <w:pPr>
        <w:pStyle w:val="29"/>
        <w:bidi w:val="0"/>
        <w:rPr>
          <w:color w:val="auto"/>
          <w:lang w:eastAsia="zh-CN"/>
        </w:rPr>
      </w:pPr>
      <w:r>
        <w:rPr>
          <w:rFonts w:hint="eastAsia"/>
          <w:b/>
          <w:bCs/>
          <w:color w:val="auto"/>
          <w:lang w:val="en-US" w:eastAsia="zh-CN"/>
        </w:rPr>
        <w:t>7. 3. 4</w:t>
      </w:r>
      <w:r>
        <w:rPr>
          <w:rFonts w:hint="eastAsia"/>
          <w:color w:val="auto"/>
        </w:rPr>
        <w:t>　</w:t>
      </w:r>
      <w:r>
        <w:rPr>
          <w:rFonts w:hint="eastAsia"/>
          <w:color w:val="auto"/>
          <w:lang w:eastAsia="zh-CN"/>
        </w:rPr>
        <w:t>场内道路设计速度应为15km/h。</w:t>
      </w:r>
    </w:p>
    <w:p w14:paraId="4477EBB7">
      <w:pPr>
        <w:pStyle w:val="29"/>
        <w:bidi w:val="0"/>
        <w:rPr>
          <w:color w:val="auto"/>
          <w:lang w:eastAsia="zh-CN"/>
        </w:rPr>
      </w:pPr>
      <w:r>
        <w:rPr>
          <w:rFonts w:hint="eastAsia"/>
          <w:b/>
          <w:bCs/>
          <w:color w:val="auto"/>
          <w:lang w:val="en-US" w:eastAsia="zh-CN"/>
        </w:rPr>
        <w:t>7. 3. 5</w:t>
      </w:r>
      <w:r>
        <w:rPr>
          <w:rFonts w:hint="eastAsia"/>
          <w:color w:val="auto"/>
        </w:rPr>
        <w:t>　</w:t>
      </w:r>
      <w:r>
        <w:rPr>
          <w:rFonts w:hint="eastAsia"/>
          <w:color w:val="auto"/>
          <w:lang w:eastAsia="zh-CN"/>
        </w:rPr>
        <w:t>场内道路选线应尽量利用已有道路，充分考虑升压站、光伏方阵、敏感因素、施工组织等条件，合理利用地形，确保满足使用功能，保证安全。</w:t>
      </w:r>
    </w:p>
    <w:p w14:paraId="315E7A14">
      <w:pPr>
        <w:pStyle w:val="29"/>
        <w:bidi w:val="0"/>
        <w:rPr>
          <w:color w:val="auto"/>
          <w:highlight w:val="none"/>
          <w:lang w:eastAsia="zh-CN"/>
        </w:rPr>
      </w:pPr>
      <w:r>
        <w:rPr>
          <w:rFonts w:hint="eastAsia"/>
          <w:b/>
          <w:bCs/>
          <w:color w:val="auto"/>
          <w:lang w:val="en-US" w:eastAsia="zh-CN"/>
        </w:rPr>
        <w:t>7. 3. 6</w:t>
      </w:r>
      <w:r>
        <w:rPr>
          <w:rFonts w:hint="eastAsia"/>
          <w:color w:val="auto"/>
        </w:rPr>
        <w:t>　</w:t>
      </w:r>
      <w:r>
        <w:rPr>
          <w:rFonts w:hint="eastAsia"/>
          <w:color w:val="auto"/>
          <w:lang w:eastAsia="zh-CN"/>
        </w:rPr>
        <w:t>场内道路纵坡设计</w:t>
      </w:r>
      <w:r>
        <w:rPr>
          <w:rFonts w:hint="eastAsia"/>
          <w:color w:val="auto"/>
          <w:lang w:val="en-US" w:eastAsia="zh-CN"/>
        </w:rPr>
        <w:t>应按现行行业标准</w:t>
      </w:r>
      <w:r>
        <w:rPr>
          <w:rFonts w:hint="eastAsia"/>
          <w:color w:val="auto"/>
          <w:lang w:eastAsia="zh-CN"/>
        </w:rPr>
        <w:t>《风电场工程道路设计规范》NB/T 10209执行。当最大纵坡确需增大时应进行安全论证。</w:t>
      </w:r>
    </w:p>
    <w:p w14:paraId="6B69B764">
      <w:pPr>
        <w:pStyle w:val="3"/>
        <w:pageBreakBefore w:val="0"/>
        <w:widowControl w:val="0"/>
        <w:topLinePunct w:val="0"/>
        <w:bidi w:val="0"/>
        <w:rPr>
          <w:color w:val="auto"/>
          <w:lang w:eastAsia="zh-CN"/>
        </w:rPr>
      </w:pPr>
    </w:p>
    <w:p w14:paraId="269D7420">
      <w:pPr>
        <w:rPr>
          <w:color w:val="auto"/>
          <w:lang w:eastAsia="zh-CN"/>
        </w:rPr>
      </w:pPr>
    </w:p>
    <w:p w14:paraId="6A76456E">
      <w:pPr>
        <w:rPr>
          <w:color w:val="auto"/>
          <w:lang w:eastAsia="zh-CN"/>
        </w:rPr>
      </w:pPr>
    </w:p>
    <w:p w14:paraId="6DE7A52C">
      <w:pPr>
        <w:pStyle w:val="31"/>
        <w:bidi w:val="0"/>
        <w:outlineLvl w:val="1"/>
        <w:rPr>
          <w:color w:val="auto"/>
          <w:lang w:eastAsia="zh-CN"/>
        </w:rPr>
      </w:pPr>
      <w:bookmarkStart w:id="96" w:name="_Toc29407"/>
      <w:bookmarkStart w:id="97" w:name="_Toc27210"/>
      <w:bookmarkStart w:id="98" w:name="_Toc21237"/>
      <w:r>
        <w:rPr>
          <w:rFonts w:hint="eastAsia"/>
          <w:b/>
          <w:bCs/>
          <w:color w:val="auto"/>
          <w:lang w:val="en-US" w:eastAsia="zh-CN"/>
        </w:rPr>
        <w:t>7. 4</w:t>
      </w:r>
      <w:r>
        <w:rPr>
          <w:rFonts w:hint="eastAsia"/>
          <w:color w:val="auto"/>
        </w:rPr>
        <w:t>　</w:t>
      </w:r>
      <w:r>
        <w:rPr>
          <w:rFonts w:hint="eastAsia"/>
          <w:color w:val="auto"/>
          <w:lang w:eastAsia="zh-CN"/>
        </w:rPr>
        <w:t>站区安全防护设施</w:t>
      </w:r>
      <w:bookmarkEnd w:id="96"/>
      <w:bookmarkEnd w:id="97"/>
      <w:bookmarkEnd w:id="98"/>
    </w:p>
    <w:p w14:paraId="336BF4E0">
      <w:pPr>
        <w:pStyle w:val="29"/>
        <w:bidi w:val="0"/>
        <w:rPr>
          <w:color w:val="auto"/>
          <w:lang w:eastAsia="zh-CN"/>
        </w:rPr>
      </w:pPr>
      <w:r>
        <w:rPr>
          <w:rFonts w:hint="eastAsia"/>
          <w:b/>
          <w:bCs/>
          <w:color w:val="auto"/>
          <w:lang w:val="en-US" w:eastAsia="zh-CN"/>
        </w:rPr>
        <w:t>7. 4. 1</w:t>
      </w:r>
      <w:r>
        <w:rPr>
          <w:rFonts w:hint="eastAsia"/>
          <w:color w:val="auto"/>
        </w:rPr>
        <w:t>　</w:t>
      </w:r>
      <w:r>
        <w:rPr>
          <w:rFonts w:hint="eastAsia"/>
          <w:color w:val="auto"/>
          <w:lang w:eastAsia="zh-CN"/>
        </w:rPr>
        <w:t>站区安全防护设施应符合现行国家标准《光伏发电站设计标准》G</w:t>
      </w:r>
      <w:r>
        <w:rPr>
          <w:color w:val="auto"/>
          <w:lang w:eastAsia="zh-CN"/>
        </w:rPr>
        <w:t>B</w:t>
      </w:r>
      <w:r>
        <w:rPr>
          <w:rFonts w:hint="eastAsia"/>
          <w:color w:val="auto"/>
          <w:lang w:val="en-US" w:eastAsia="zh-CN"/>
        </w:rPr>
        <w:t xml:space="preserve"> </w:t>
      </w:r>
      <w:r>
        <w:rPr>
          <w:color w:val="auto"/>
          <w:lang w:eastAsia="zh-CN"/>
        </w:rPr>
        <w:t>50797</w:t>
      </w:r>
      <w:r>
        <w:rPr>
          <w:rFonts w:hint="eastAsia"/>
          <w:color w:val="auto"/>
          <w:lang w:eastAsia="zh-CN"/>
        </w:rPr>
        <w:t>的规定</w:t>
      </w:r>
      <w:r>
        <w:rPr>
          <w:rFonts w:hint="eastAsia"/>
          <w:color w:val="auto"/>
          <w:lang w:val="en-US" w:eastAsia="zh-CN"/>
        </w:rPr>
        <w:t>。</w:t>
      </w:r>
    </w:p>
    <w:p w14:paraId="47A5AACD">
      <w:pPr>
        <w:pStyle w:val="29"/>
        <w:bidi w:val="0"/>
        <w:rPr>
          <w:rFonts w:hint="eastAsia"/>
          <w:color w:val="auto"/>
          <w:lang w:val="en-US" w:eastAsia="zh-CN"/>
        </w:rPr>
      </w:pPr>
      <w:r>
        <w:rPr>
          <w:rFonts w:hint="eastAsia"/>
          <w:b/>
          <w:bCs/>
          <w:color w:val="auto"/>
          <w:lang w:val="en-US" w:eastAsia="zh-CN"/>
        </w:rPr>
        <w:t>7. 4. 2</w:t>
      </w:r>
      <w:r>
        <w:rPr>
          <w:rFonts w:hint="eastAsia"/>
          <w:color w:val="auto"/>
        </w:rPr>
        <w:t>　</w:t>
      </w:r>
      <w:r>
        <w:rPr>
          <w:rFonts w:hint="eastAsia"/>
          <w:color w:val="auto"/>
          <w:lang w:val="en-US" w:eastAsia="zh-CN"/>
        </w:rPr>
        <w:t>在易发生山火的区域，宜进行场区防火设施设计。</w:t>
      </w:r>
    </w:p>
    <w:p w14:paraId="381679FE">
      <w:pPr>
        <w:pStyle w:val="29"/>
        <w:bidi w:val="0"/>
        <w:rPr>
          <w:rFonts w:hint="eastAsia"/>
          <w:color w:val="auto"/>
          <w:lang w:val="en-US" w:eastAsia="zh-CN"/>
        </w:rPr>
      </w:pPr>
      <w:r>
        <w:rPr>
          <w:rFonts w:hint="eastAsia"/>
          <w:b/>
          <w:bCs/>
          <w:color w:val="auto"/>
          <w:lang w:val="en-US" w:eastAsia="zh-CN"/>
        </w:rPr>
        <w:t>7. 4. 3</w:t>
      </w:r>
      <w:r>
        <w:rPr>
          <w:rFonts w:hint="eastAsia"/>
          <w:color w:val="auto"/>
        </w:rPr>
        <w:t>　</w:t>
      </w:r>
      <w:r>
        <w:rPr>
          <w:rFonts w:hint="eastAsia"/>
          <w:color w:val="auto"/>
          <w:lang w:val="en-US" w:eastAsia="zh-CN"/>
        </w:rPr>
        <w:t>复合光伏项目逆变器、箱变、分接箱等宜考虑防止动物破坏的措施。</w:t>
      </w:r>
    </w:p>
    <w:p w14:paraId="38462BC1">
      <w:pPr>
        <w:pStyle w:val="29"/>
        <w:bidi w:val="0"/>
        <w:rPr>
          <w:rFonts w:hint="eastAsia"/>
          <w:color w:val="auto"/>
          <w:lang w:val="en-US" w:eastAsia="zh-CN"/>
        </w:rPr>
      </w:pPr>
    </w:p>
    <w:p w14:paraId="121366BC">
      <w:pPr>
        <w:pStyle w:val="29"/>
        <w:bidi w:val="0"/>
        <w:rPr>
          <w:rFonts w:hint="eastAsia"/>
          <w:color w:val="auto"/>
          <w:lang w:val="en-US" w:eastAsia="zh-CN"/>
        </w:rPr>
      </w:pPr>
    </w:p>
    <w:p w14:paraId="24782C2A">
      <w:pPr>
        <w:pStyle w:val="29"/>
        <w:bidi w:val="0"/>
        <w:rPr>
          <w:rFonts w:hint="eastAsia"/>
          <w:color w:val="auto"/>
          <w:lang w:val="en-US" w:eastAsia="zh-CN"/>
        </w:rPr>
      </w:pPr>
    </w:p>
    <w:p w14:paraId="6264CBDE">
      <w:pPr>
        <w:pStyle w:val="29"/>
        <w:bidi w:val="0"/>
        <w:rPr>
          <w:rFonts w:hint="eastAsia"/>
          <w:color w:val="auto"/>
          <w:lang w:val="en-US" w:eastAsia="zh-CN"/>
        </w:rPr>
      </w:pPr>
    </w:p>
    <w:p w14:paraId="3C4AC59C">
      <w:pPr>
        <w:pStyle w:val="29"/>
        <w:bidi w:val="0"/>
        <w:rPr>
          <w:rFonts w:hint="eastAsia"/>
          <w:color w:val="auto"/>
          <w:lang w:val="en-US" w:eastAsia="zh-CN"/>
        </w:rPr>
      </w:pPr>
    </w:p>
    <w:p w14:paraId="3402EC92">
      <w:pPr>
        <w:pStyle w:val="29"/>
        <w:bidi w:val="0"/>
        <w:rPr>
          <w:rFonts w:hint="eastAsia"/>
          <w:color w:val="auto"/>
          <w:lang w:val="en-US" w:eastAsia="zh-CN"/>
        </w:rPr>
      </w:pPr>
    </w:p>
    <w:p w14:paraId="64BB54C9">
      <w:pPr>
        <w:pStyle w:val="29"/>
        <w:bidi w:val="0"/>
        <w:rPr>
          <w:rFonts w:hint="eastAsia"/>
          <w:color w:val="auto"/>
          <w:lang w:val="en-US" w:eastAsia="zh-CN"/>
        </w:rPr>
      </w:pPr>
    </w:p>
    <w:p w14:paraId="671C1E6C">
      <w:pPr>
        <w:pStyle w:val="29"/>
        <w:bidi w:val="0"/>
        <w:rPr>
          <w:rFonts w:hint="eastAsia"/>
          <w:color w:val="auto"/>
          <w:lang w:val="en-US" w:eastAsia="zh-CN"/>
        </w:rPr>
      </w:pPr>
    </w:p>
    <w:p w14:paraId="4AF71693">
      <w:pPr>
        <w:pStyle w:val="29"/>
        <w:bidi w:val="0"/>
        <w:rPr>
          <w:rFonts w:hint="eastAsia"/>
          <w:color w:val="auto"/>
          <w:lang w:val="en-US" w:eastAsia="zh-CN"/>
        </w:rPr>
      </w:pPr>
    </w:p>
    <w:p w14:paraId="4ADF05F2">
      <w:pPr>
        <w:pStyle w:val="29"/>
        <w:bidi w:val="0"/>
        <w:rPr>
          <w:rFonts w:hint="eastAsia"/>
          <w:color w:val="auto"/>
          <w:lang w:val="en-US" w:eastAsia="zh-CN"/>
        </w:rPr>
      </w:pPr>
    </w:p>
    <w:p w14:paraId="5FC52BCF">
      <w:pPr>
        <w:pStyle w:val="29"/>
        <w:bidi w:val="0"/>
        <w:rPr>
          <w:rFonts w:hint="eastAsia"/>
          <w:color w:val="auto"/>
          <w:lang w:val="en-US" w:eastAsia="zh-CN"/>
        </w:rPr>
      </w:pPr>
    </w:p>
    <w:p w14:paraId="73A9F2EF">
      <w:pPr>
        <w:pStyle w:val="29"/>
        <w:bidi w:val="0"/>
        <w:rPr>
          <w:rFonts w:hint="eastAsia"/>
          <w:color w:val="auto"/>
          <w:lang w:val="en-US" w:eastAsia="zh-CN"/>
        </w:rPr>
      </w:pPr>
    </w:p>
    <w:p w14:paraId="6EFA5283">
      <w:pPr>
        <w:pStyle w:val="29"/>
        <w:bidi w:val="0"/>
        <w:rPr>
          <w:rFonts w:hint="eastAsia"/>
          <w:color w:val="auto"/>
          <w:lang w:val="en-US" w:eastAsia="zh-CN"/>
        </w:rPr>
      </w:pPr>
    </w:p>
    <w:p w14:paraId="5D225CF8">
      <w:pPr>
        <w:pStyle w:val="29"/>
        <w:bidi w:val="0"/>
        <w:rPr>
          <w:rFonts w:hint="eastAsia"/>
          <w:color w:val="auto"/>
          <w:lang w:val="en-US" w:eastAsia="zh-CN"/>
        </w:rPr>
      </w:pPr>
    </w:p>
    <w:p w14:paraId="2B588EE1">
      <w:pPr>
        <w:pStyle w:val="29"/>
        <w:bidi w:val="0"/>
        <w:rPr>
          <w:rFonts w:hint="eastAsia"/>
          <w:color w:val="auto"/>
          <w:lang w:val="en-US" w:eastAsia="zh-CN"/>
        </w:rPr>
      </w:pPr>
    </w:p>
    <w:p w14:paraId="657522F2">
      <w:pPr>
        <w:pStyle w:val="29"/>
        <w:bidi w:val="0"/>
        <w:rPr>
          <w:rFonts w:hint="eastAsia"/>
          <w:color w:val="auto"/>
          <w:lang w:val="en-US" w:eastAsia="zh-CN"/>
        </w:rPr>
      </w:pPr>
    </w:p>
    <w:p w14:paraId="5DE66A6C">
      <w:pPr>
        <w:pStyle w:val="29"/>
        <w:bidi w:val="0"/>
        <w:rPr>
          <w:rFonts w:hint="eastAsia"/>
          <w:color w:val="auto"/>
          <w:lang w:val="en-US" w:eastAsia="zh-CN"/>
        </w:rPr>
      </w:pPr>
    </w:p>
    <w:p w14:paraId="54A9F95F">
      <w:pPr>
        <w:pStyle w:val="29"/>
        <w:bidi w:val="0"/>
        <w:rPr>
          <w:rFonts w:hint="default"/>
          <w:color w:val="auto"/>
          <w:lang w:val="en-US" w:eastAsia="zh-CN"/>
        </w:rPr>
      </w:pPr>
    </w:p>
    <w:p w14:paraId="4D822B35">
      <w:pPr>
        <w:pStyle w:val="30"/>
        <w:bidi w:val="0"/>
        <w:rPr>
          <w:rFonts w:hint="eastAsia"/>
          <w:color w:val="auto"/>
          <w:lang w:eastAsia="zh-CN"/>
        </w:rPr>
      </w:pPr>
      <w:bookmarkStart w:id="99" w:name="bookmark28"/>
      <w:bookmarkEnd w:id="99"/>
      <w:bookmarkStart w:id="100" w:name="bookmark163"/>
      <w:bookmarkEnd w:id="100"/>
      <w:bookmarkStart w:id="101" w:name="_Toc6398"/>
      <w:bookmarkStart w:id="102" w:name="_Toc2136"/>
    </w:p>
    <w:p w14:paraId="3F7FCFAA">
      <w:pPr>
        <w:pStyle w:val="30"/>
        <w:bidi w:val="0"/>
        <w:rPr>
          <w:rFonts w:hint="eastAsia"/>
          <w:color w:val="auto"/>
          <w:lang w:eastAsia="zh-CN"/>
        </w:rPr>
      </w:pPr>
    </w:p>
    <w:p w14:paraId="063999B7">
      <w:pPr>
        <w:pStyle w:val="30"/>
        <w:bidi w:val="0"/>
        <w:outlineLvl w:val="0"/>
        <w:rPr>
          <w:color w:val="auto"/>
          <w:lang w:eastAsia="zh-CN"/>
        </w:rPr>
      </w:pPr>
      <w:bookmarkStart w:id="103" w:name="_Toc4835"/>
      <w:bookmarkStart w:id="104" w:name="_Toc32724"/>
      <w:r>
        <w:rPr>
          <w:rFonts w:hint="eastAsia"/>
          <w:b/>
          <w:bCs/>
          <w:color w:val="auto"/>
          <w:lang w:val="en-US" w:eastAsia="zh-CN"/>
        </w:rPr>
        <w:t>8</w:t>
      </w:r>
      <w:r>
        <w:rPr>
          <w:rFonts w:hint="eastAsia"/>
          <w:color w:val="auto"/>
        </w:rPr>
        <w:t>　</w:t>
      </w:r>
      <w:r>
        <w:rPr>
          <w:rFonts w:hint="eastAsia"/>
          <w:color w:val="auto"/>
          <w:lang w:eastAsia="zh-CN"/>
        </w:rPr>
        <w:t>电    气</w:t>
      </w:r>
      <w:bookmarkEnd w:id="101"/>
      <w:bookmarkEnd w:id="102"/>
      <w:bookmarkEnd w:id="103"/>
      <w:bookmarkEnd w:id="104"/>
    </w:p>
    <w:p w14:paraId="1FE344CF">
      <w:pPr>
        <w:pStyle w:val="31"/>
        <w:bidi w:val="0"/>
        <w:outlineLvl w:val="1"/>
        <w:rPr>
          <w:color w:val="auto"/>
          <w:lang w:eastAsia="zh-CN"/>
        </w:rPr>
      </w:pPr>
      <w:bookmarkStart w:id="105" w:name="_Toc12170"/>
      <w:bookmarkStart w:id="106" w:name="_Toc16975"/>
      <w:r>
        <w:rPr>
          <w:rFonts w:hint="eastAsia"/>
          <w:b/>
          <w:bCs/>
          <w:color w:val="auto"/>
          <w:lang w:val="en-US" w:eastAsia="zh-CN"/>
        </w:rPr>
        <w:t>8. 1</w:t>
      </w:r>
      <w:r>
        <w:rPr>
          <w:rFonts w:hint="eastAsia"/>
          <w:color w:val="auto"/>
        </w:rPr>
        <w:t>　</w:t>
      </w:r>
      <w:r>
        <w:rPr>
          <w:rFonts w:hint="eastAsia"/>
          <w:color w:val="auto"/>
          <w:lang w:eastAsia="zh-CN"/>
        </w:rPr>
        <w:t>一般规定</w:t>
      </w:r>
      <w:bookmarkEnd w:id="105"/>
      <w:bookmarkEnd w:id="106"/>
    </w:p>
    <w:p w14:paraId="75231846">
      <w:pPr>
        <w:pStyle w:val="29"/>
        <w:bidi w:val="0"/>
        <w:rPr>
          <w:color w:val="auto"/>
          <w:lang w:eastAsia="zh-CN"/>
        </w:rPr>
      </w:pPr>
      <w:r>
        <w:rPr>
          <w:rFonts w:hint="eastAsia"/>
          <w:b/>
          <w:bCs/>
          <w:color w:val="auto"/>
          <w:lang w:val="en-US" w:eastAsia="zh-CN"/>
        </w:rPr>
        <w:t>8. 1. 1</w:t>
      </w:r>
      <w:r>
        <w:rPr>
          <w:rFonts w:hint="eastAsia"/>
          <w:color w:val="auto"/>
        </w:rPr>
        <w:t>　</w:t>
      </w:r>
      <w:r>
        <w:rPr>
          <w:rFonts w:hint="eastAsia"/>
          <w:color w:val="auto"/>
          <w:lang w:eastAsia="zh-CN"/>
        </w:rPr>
        <w:t>山地光伏电站升压站站区的设计应符合现行国家标准《光伏发电站设计标准》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p>
    <w:p w14:paraId="591743B9">
      <w:pPr>
        <w:pStyle w:val="29"/>
        <w:bidi w:val="0"/>
        <w:rPr>
          <w:color w:val="auto"/>
          <w:lang w:eastAsia="zh-CN"/>
        </w:rPr>
      </w:pPr>
      <w:r>
        <w:rPr>
          <w:rFonts w:hint="eastAsia"/>
          <w:b/>
          <w:bCs/>
          <w:color w:val="auto"/>
          <w:lang w:val="en-US" w:eastAsia="zh-CN"/>
        </w:rPr>
        <w:t>8. 1. 2</w:t>
      </w:r>
      <w:r>
        <w:rPr>
          <w:rFonts w:hint="eastAsia"/>
          <w:color w:val="auto"/>
        </w:rPr>
        <w:t>　</w:t>
      </w:r>
      <w:r>
        <w:rPr>
          <w:rFonts w:hint="eastAsia"/>
          <w:color w:val="auto"/>
          <w:lang w:eastAsia="zh-CN"/>
        </w:rPr>
        <w:t>山地光伏电站电气系统的设计应在满足安全性和可靠性的前提下，本着提高系统效率、经济适用、生态融合、安装运维方便的原则进行，优先采用新技术、新工艺、新设备、新材料。</w:t>
      </w:r>
    </w:p>
    <w:p w14:paraId="5A2856F3">
      <w:pPr>
        <w:pStyle w:val="29"/>
        <w:bidi w:val="0"/>
        <w:rPr>
          <w:color w:val="auto"/>
          <w:lang w:eastAsia="zh-CN"/>
        </w:rPr>
      </w:pPr>
      <w:r>
        <w:rPr>
          <w:rFonts w:hint="eastAsia"/>
          <w:b/>
          <w:bCs/>
          <w:color w:val="auto"/>
          <w:lang w:val="en-US" w:eastAsia="zh-CN"/>
        </w:rPr>
        <w:t>8. 1. 3</w:t>
      </w:r>
      <w:r>
        <w:rPr>
          <w:rFonts w:hint="eastAsia"/>
          <w:color w:val="auto"/>
        </w:rPr>
        <w:t>　</w:t>
      </w:r>
      <w:r>
        <w:rPr>
          <w:rFonts w:hint="eastAsia"/>
          <w:color w:val="auto"/>
          <w:lang w:eastAsia="zh-CN"/>
        </w:rPr>
        <w:t>山地光伏电站的电气设计应满足区域电网的相关要求。</w:t>
      </w:r>
    </w:p>
    <w:p w14:paraId="0E9BCA8B">
      <w:pPr>
        <w:pStyle w:val="31"/>
        <w:bidi w:val="0"/>
        <w:outlineLvl w:val="1"/>
        <w:rPr>
          <w:color w:val="auto"/>
          <w:highlight w:val="none"/>
          <w:lang w:eastAsia="zh-CN"/>
        </w:rPr>
      </w:pPr>
      <w:bookmarkStart w:id="107" w:name="_Toc18097"/>
      <w:bookmarkStart w:id="108" w:name="_Toc4416"/>
      <w:r>
        <w:rPr>
          <w:rFonts w:hint="eastAsia"/>
          <w:b/>
          <w:bCs/>
          <w:color w:val="auto"/>
          <w:lang w:val="en-US" w:eastAsia="zh-CN"/>
        </w:rPr>
        <w:t>8. 2</w:t>
      </w:r>
      <w:r>
        <w:rPr>
          <w:rFonts w:hint="eastAsia"/>
          <w:color w:val="auto"/>
        </w:rPr>
        <w:t>　</w:t>
      </w:r>
      <w:r>
        <w:rPr>
          <w:rFonts w:hint="eastAsia"/>
          <w:color w:val="auto"/>
          <w:highlight w:val="none"/>
          <w:lang w:eastAsia="zh-CN"/>
        </w:rPr>
        <w:t>变压器</w:t>
      </w:r>
      <w:bookmarkEnd w:id="107"/>
      <w:bookmarkEnd w:id="108"/>
    </w:p>
    <w:p w14:paraId="597153CC">
      <w:pPr>
        <w:pStyle w:val="29"/>
        <w:bidi w:val="0"/>
        <w:rPr>
          <w:rFonts w:hint="eastAsia"/>
          <w:color w:val="auto"/>
          <w:lang w:eastAsia="zh-CN"/>
        </w:rPr>
      </w:pPr>
      <w:r>
        <w:rPr>
          <w:rFonts w:hint="eastAsia"/>
          <w:b/>
          <w:bCs/>
          <w:color w:val="auto"/>
          <w:lang w:val="en-US" w:eastAsia="zh-CN"/>
        </w:rPr>
        <w:t>8. 2. 1</w:t>
      </w:r>
      <w:r>
        <w:rPr>
          <w:rFonts w:hint="eastAsia"/>
          <w:color w:val="auto"/>
        </w:rPr>
        <w:t>　</w:t>
      </w:r>
      <w:r>
        <w:rPr>
          <w:rFonts w:hint="eastAsia"/>
          <w:color w:val="auto"/>
          <w:lang w:eastAsia="zh-CN"/>
        </w:rPr>
        <w:t>山地光伏电站升压站主变压器容量和台数的选择，可按光伏发电站的最大连续输出容量进行选取，且宜选用标准容量。</w:t>
      </w:r>
    </w:p>
    <w:p w14:paraId="719963D6">
      <w:pPr>
        <w:pStyle w:val="29"/>
        <w:bidi w:val="0"/>
        <w:rPr>
          <w:color w:val="auto"/>
          <w:lang w:eastAsia="zh-CN"/>
        </w:rPr>
      </w:pPr>
      <w:r>
        <w:rPr>
          <w:rFonts w:hint="eastAsia"/>
          <w:b/>
          <w:bCs/>
          <w:color w:val="auto"/>
          <w:lang w:val="en-US" w:eastAsia="zh-CN"/>
        </w:rPr>
        <w:t>8. 2. 2</w:t>
      </w:r>
      <w:r>
        <w:rPr>
          <w:rFonts w:hint="eastAsia"/>
          <w:color w:val="auto"/>
        </w:rPr>
        <w:t>　</w:t>
      </w:r>
      <w:r>
        <w:rPr>
          <w:rFonts w:hint="eastAsia"/>
          <w:color w:val="auto"/>
          <w:lang w:eastAsia="zh-CN"/>
        </w:rPr>
        <w:t>山地光伏电站升压站主变压器的选择应符合下列要求：</w:t>
      </w:r>
    </w:p>
    <w:p w14:paraId="134E31B5">
      <w:pPr>
        <w:pStyle w:val="29"/>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eastAsia="zh-CN"/>
        </w:rPr>
        <w:t>主变压器若不受运输条件的限制，应选用三相变压器。应优先选用自冷式、低损耗电力变压器，应满足现行国家标准《电力变压器能效限定值及能效等级》GB</w:t>
      </w:r>
      <w:r>
        <w:rPr>
          <w:rFonts w:hint="eastAsia"/>
          <w:color w:val="auto"/>
          <w:lang w:val="en-US" w:eastAsia="zh-CN"/>
        </w:rPr>
        <w:t xml:space="preserve"> </w:t>
      </w:r>
      <w:r>
        <w:rPr>
          <w:rFonts w:hint="eastAsia"/>
          <w:color w:val="auto"/>
          <w:lang w:eastAsia="zh-CN"/>
        </w:rPr>
        <w:t>20052的规定；</w:t>
      </w:r>
    </w:p>
    <w:p w14:paraId="1A9EBD00">
      <w:pPr>
        <w:pStyle w:val="29"/>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主变压器带稳定绕组时，稳定绕组额定容量一般不能低于变压器额定容量的35%。</w:t>
      </w:r>
    </w:p>
    <w:p w14:paraId="558AB13D">
      <w:pPr>
        <w:pStyle w:val="29"/>
        <w:bidi w:val="0"/>
        <w:rPr>
          <w:color w:val="auto"/>
          <w:lang w:eastAsia="zh-CN"/>
        </w:rPr>
      </w:pPr>
      <w:r>
        <w:rPr>
          <w:rFonts w:hint="eastAsia"/>
          <w:b/>
          <w:bCs/>
          <w:color w:val="auto"/>
          <w:lang w:val="en-US" w:eastAsia="zh-CN"/>
        </w:rPr>
        <w:t>8. 2. 3</w:t>
      </w:r>
      <w:r>
        <w:rPr>
          <w:rFonts w:hint="eastAsia"/>
          <w:color w:val="auto"/>
        </w:rPr>
        <w:t>　</w:t>
      </w:r>
      <w:r>
        <w:rPr>
          <w:rFonts w:hint="eastAsia"/>
          <w:color w:val="auto"/>
          <w:lang w:eastAsia="zh-CN"/>
        </w:rPr>
        <w:t>山地光伏方阵内就地升压变压器的选择应符合下列要求：</w:t>
      </w:r>
    </w:p>
    <w:p w14:paraId="6A318DDD">
      <w:pPr>
        <w:pStyle w:val="29"/>
        <w:bidi w:val="0"/>
        <w:ind w:firstLine="562" w:firstLineChars="200"/>
        <w:rPr>
          <w:color w:val="auto"/>
          <w:lang w:eastAsia="zh-CN"/>
        </w:rPr>
      </w:pPr>
      <w:r>
        <w:rPr>
          <w:rFonts w:hint="eastAsia"/>
          <w:b/>
          <w:bCs/>
          <w:color w:val="auto"/>
          <w:lang w:eastAsia="zh-CN"/>
        </w:rPr>
        <w:t>1</w:t>
      </w:r>
      <w:r>
        <w:rPr>
          <w:rFonts w:hint="eastAsia"/>
          <w:color w:val="auto"/>
        </w:rPr>
        <w:t>　</w:t>
      </w:r>
      <w:r>
        <w:rPr>
          <w:rFonts w:hint="eastAsia"/>
          <w:color w:val="auto"/>
          <w:lang w:eastAsia="zh-CN"/>
        </w:rPr>
        <w:t>宜选用自冷式、低损耗电力变压器，应满足现行国家标准《电力变压器能效限定值及能效等级》GB</w:t>
      </w:r>
      <w:r>
        <w:rPr>
          <w:rFonts w:hint="eastAsia"/>
          <w:color w:val="auto"/>
          <w:lang w:val="en-US" w:eastAsia="zh-CN"/>
        </w:rPr>
        <w:t xml:space="preserve"> </w:t>
      </w:r>
      <w:r>
        <w:rPr>
          <w:rFonts w:hint="eastAsia"/>
          <w:color w:val="auto"/>
          <w:lang w:eastAsia="zh-CN"/>
        </w:rPr>
        <w:t>20052的规定。变压器容量可根据接入的光伏方阵单元确定，同一项目的变压器容量规格不宜超过5种；</w:t>
      </w:r>
    </w:p>
    <w:p w14:paraId="397CFEFA">
      <w:pPr>
        <w:pStyle w:val="29"/>
        <w:bidi w:val="0"/>
        <w:ind w:firstLine="562" w:firstLineChars="200"/>
        <w:rPr>
          <w:color w:val="auto"/>
          <w:lang w:eastAsia="zh-CN"/>
        </w:rPr>
      </w:pPr>
      <w:r>
        <w:rPr>
          <w:rFonts w:hint="eastAsia"/>
          <w:b/>
          <w:bCs/>
          <w:color w:val="auto"/>
          <w:lang w:eastAsia="zh-CN"/>
        </w:rPr>
        <w:t>2</w:t>
      </w:r>
      <w:r>
        <w:rPr>
          <w:rFonts w:hint="eastAsia"/>
          <w:color w:val="auto"/>
        </w:rPr>
        <w:t>　</w:t>
      </w:r>
      <w:r>
        <w:rPr>
          <w:rFonts w:hint="eastAsia"/>
          <w:color w:val="auto"/>
          <w:lang w:eastAsia="zh-CN"/>
        </w:rPr>
        <w:t>宜选用高压</w:t>
      </w:r>
      <w:r>
        <w:rPr>
          <w:rFonts w:hint="eastAsia"/>
          <w:color w:val="auto"/>
          <w:lang w:val="en-US" w:eastAsia="zh-CN"/>
        </w:rPr>
        <w:t>/</w:t>
      </w:r>
      <w:r>
        <w:rPr>
          <w:rFonts w:hint="eastAsia"/>
          <w:color w:val="auto"/>
          <w:lang w:eastAsia="zh-CN"/>
        </w:rPr>
        <w:t>低压预装式箱式变电站或变压器、高低压电气设备等组成的装配式变电站。</w:t>
      </w:r>
    </w:p>
    <w:p w14:paraId="32473EEE">
      <w:pPr>
        <w:pStyle w:val="31"/>
        <w:bidi w:val="0"/>
        <w:outlineLvl w:val="1"/>
        <w:rPr>
          <w:color w:val="auto"/>
          <w:lang w:eastAsia="zh-CN"/>
        </w:rPr>
      </w:pPr>
      <w:bookmarkStart w:id="109" w:name="bookmark30"/>
      <w:bookmarkEnd w:id="109"/>
      <w:bookmarkStart w:id="110" w:name="bookmark164"/>
      <w:bookmarkEnd w:id="110"/>
      <w:bookmarkStart w:id="111" w:name="_Toc26775"/>
      <w:bookmarkStart w:id="112" w:name="_Toc10738"/>
      <w:bookmarkStart w:id="113" w:name="_Toc19081"/>
      <w:r>
        <w:rPr>
          <w:rFonts w:hint="eastAsia"/>
          <w:b/>
          <w:bCs/>
          <w:color w:val="auto"/>
          <w:lang w:val="en-US" w:eastAsia="zh-CN"/>
        </w:rPr>
        <w:t>8. 3</w:t>
      </w:r>
      <w:r>
        <w:rPr>
          <w:rFonts w:hint="eastAsia"/>
          <w:color w:val="auto"/>
        </w:rPr>
        <w:t>　</w:t>
      </w:r>
      <w:r>
        <w:rPr>
          <w:rFonts w:hint="eastAsia"/>
          <w:color w:val="auto"/>
          <w:lang w:eastAsia="zh-CN"/>
        </w:rPr>
        <w:t>电气主接线</w:t>
      </w:r>
      <w:bookmarkEnd w:id="111"/>
      <w:bookmarkEnd w:id="112"/>
      <w:bookmarkEnd w:id="113"/>
    </w:p>
    <w:p w14:paraId="5B97480C">
      <w:pPr>
        <w:pStyle w:val="29"/>
        <w:bidi w:val="0"/>
        <w:rPr>
          <w:color w:val="auto"/>
          <w:lang w:eastAsia="zh-CN"/>
        </w:rPr>
      </w:pPr>
      <w:r>
        <w:rPr>
          <w:rFonts w:hint="eastAsia"/>
          <w:b/>
          <w:bCs/>
          <w:color w:val="auto"/>
          <w:lang w:val="en-US" w:eastAsia="zh-CN"/>
        </w:rPr>
        <w:t>8. 3. 1</w:t>
      </w:r>
      <w:r>
        <w:rPr>
          <w:rFonts w:hint="eastAsia"/>
          <w:color w:val="auto"/>
        </w:rPr>
        <w:t>　</w:t>
      </w:r>
      <w:r>
        <w:rPr>
          <w:rFonts w:hint="eastAsia"/>
          <w:color w:val="auto"/>
          <w:lang w:eastAsia="zh-CN"/>
        </w:rPr>
        <w:t>山地光伏电站1</w:t>
      </w:r>
      <w:r>
        <w:rPr>
          <w:color w:val="auto"/>
          <w:lang w:eastAsia="zh-CN"/>
        </w:rPr>
        <w:t>10</w:t>
      </w:r>
      <w:r>
        <w:rPr>
          <w:rFonts w:hint="eastAsia"/>
          <w:color w:val="auto"/>
          <w:lang w:eastAsia="zh-CN"/>
        </w:rPr>
        <w:t>kV及以上电压等级的升压站接线方式，应根据并网光伏电站在电力系统的重要性、地区电力网接线方式要求、出线回路数、本期和远景规划额定容量等条件确定，并以电网接入系统批复意见为准。</w:t>
      </w:r>
    </w:p>
    <w:p w14:paraId="04FD88C5">
      <w:pPr>
        <w:pStyle w:val="29"/>
        <w:bidi w:val="0"/>
        <w:rPr>
          <w:color w:val="auto"/>
        </w:rPr>
      </w:pPr>
      <w:r>
        <w:rPr>
          <w:rFonts w:hint="eastAsia"/>
          <w:b/>
          <w:bCs/>
          <w:color w:val="auto"/>
          <w:lang w:val="en-US" w:eastAsia="zh-CN"/>
        </w:rPr>
        <w:t>8. 3. 2</w:t>
      </w:r>
      <w:r>
        <w:rPr>
          <w:rFonts w:hint="eastAsia"/>
          <w:color w:val="auto"/>
        </w:rPr>
        <w:t>　</w:t>
      </w:r>
      <w:r>
        <w:rPr>
          <w:color w:val="auto"/>
          <w:lang w:eastAsia="zh-CN"/>
        </w:rPr>
        <w:t>110</w:t>
      </w:r>
      <w:r>
        <w:rPr>
          <w:rFonts w:hint="eastAsia"/>
          <w:color w:val="auto"/>
          <w:lang w:eastAsia="zh-CN"/>
        </w:rPr>
        <w:t>kV</w:t>
      </w:r>
      <w:r>
        <w:rPr>
          <w:color w:val="auto"/>
          <w:lang w:eastAsia="zh-CN"/>
        </w:rPr>
        <w:t>~220</w:t>
      </w:r>
      <w:r>
        <w:rPr>
          <w:rFonts w:hint="eastAsia"/>
          <w:color w:val="auto"/>
          <w:lang w:eastAsia="zh-CN"/>
        </w:rPr>
        <w:t>kV电压等级配电装置母线避雷器和电压互感器宜合用一组隔离开关。</w:t>
      </w:r>
      <w:r>
        <w:rPr>
          <w:color w:val="auto"/>
          <w:lang w:eastAsia="zh-CN"/>
        </w:rPr>
        <w:t>110</w:t>
      </w:r>
      <w:r>
        <w:rPr>
          <w:rFonts w:hint="eastAsia"/>
          <w:color w:val="auto"/>
          <w:lang w:eastAsia="zh-CN"/>
        </w:rPr>
        <w:t>kV</w:t>
      </w:r>
      <w:r>
        <w:rPr>
          <w:color w:val="auto"/>
          <w:lang w:eastAsia="zh-CN"/>
        </w:rPr>
        <w:t>~220</w:t>
      </w:r>
      <w:r>
        <w:rPr>
          <w:rFonts w:hint="eastAsia"/>
          <w:color w:val="auto"/>
          <w:lang w:eastAsia="zh-CN"/>
        </w:rPr>
        <w:t>kV线路出线电压互感器与耦合电容器、出线避雷器、主变压器引出线的避雷器不宜装设隔离开关。</w:t>
      </w:r>
      <w:r>
        <w:rPr>
          <w:rFonts w:hint="eastAsia"/>
          <w:color w:val="auto"/>
        </w:rPr>
        <w:t>主变压器中性点避雷器不应装设隔离开关。</w:t>
      </w:r>
    </w:p>
    <w:p w14:paraId="0578AC6F">
      <w:pPr>
        <w:pStyle w:val="29"/>
        <w:bidi w:val="0"/>
        <w:rPr>
          <w:color w:val="auto"/>
          <w:lang w:eastAsia="zh-CN"/>
        </w:rPr>
      </w:pPr>
      <w:r>
        <w:rPr>
          <w:rFonts w:hint="eastAsia"/>
          <w:b/>
          <w:bCs/>
          <w:color w:val="auto"/>
          <w:lang w:val="en-US" w:eastAsia="zh-CN"/>
        </w:rPr>
        <w:t>8. 3. 3</w:t>
      </w:r>
      <w:r>
        <w:rPr>
          <w:rFonts w:hint="eastAsia"/>
          <w:color w:val="auto"/>
        </w:rPr>
        <w:t>　</w:t>
      </w:r>
      <w:r>
        <w:rPr>
          <w:rFonts w:hint="eastAsia"/>
          <w:color w:val="auto"/>
          <w:lang w:eastAsia="zh-CN"/>
        </w:rPr>
        <w:t>GIS配电装置的母线避雷器和电压互感器、电缆进出线间隔的避雷器、线路电压互感器应设置独立的隔离开关或隔离断口。架空进线的GIS线路间隔的避雷器和线路电压互感器宜采用外置结构。</w:t>
      </w:r>
    </w:p>
    <w:p w14:paraId="0D487D6D">
      <w:pPr>
        <w:pStyle w:val="29"/>
        <w:bidi w:val="0"/>
        <w:rPr>
          <w:color w:val="auto"/>
          <w:highlight w:val="none"/>
        </w:rPr>
      </w:pPr>
      <w:r>
        <w:rPr>
          <w:rFonts w:hint="eastAsia"/>
          <w:b/>
          <w:bCs/>
          <w:color w:val="auto"/>
          <w:lang w:val="en-US" w:eastAsia="zh-CN"/>
        </w:rPr>
        <w:t>8. 3. 4</w:t>
      </w:r>
      <w:r>
        <w:rPr>
          <w:rFonts w:hint="eastAsia"/>
          <w:color w:val="auto"/>
        </w:rPr>
        <w:t>　</w:t>
      </w:r>
      <w:r>
        <w:rPr>
          <w:rFonts w:hint="eastAsia"/>
          <w:color w:val="auto"/>
          <w:lang w:eastAsia="zh-CN"/>
        </w:rPr>
        <w:t>山地光伏电站的站内汇集系统宜采用经消弧线圈接地或小电阻接地方式，接地方式应与电网的接地方式相适应。就地升压变压器的低压侧中性点是否接地应依据逆变器的要求确定。</w:t>
      </w:r>
      <w:r>
        <w:rPr>
          <w:rFonts w:hint="eastAsia"/>
          <w:color w:val="auto"/>
        </w:rPr>
        <w:t>新建光伏项目的接地变不宜兼作站用变。</w:t>
      </w:r>
    </w:p>
    <w:p w14:paraId="350E5487">
      <w:pPr>
        <w:pStyle w:val="31"/>
        <w:bidi w:val="0"/>
        <w:outlineLvl w:val="1"/>
        <w:rPr>
          <w:color w:val="auto"/>
          <w:lang w:eastAsia="zh-CN"/>
        </w:rPr>
      </w:pPr>
      <w:bookmarkStart w:id="114" w:name="bookmark31"/>
      <w:bookmarkEnd w:id="114"/>
      <w:bookmarkStart w:id="115" w:name="_Toc13854"/>
      <w:bookmarkStart w:id="116" w:name="_Toc192"/>
      <w:bookmarkStart w:id="117" w:name="_Toc23743"/>
      <w:r>
        <w:rPr>
          <w:rFonts w:hint="eastAsia"/>
          <w:b/>
          <w:bCs/>
          <w:color w:val="auto"/>
          <w:lang w:val="en-US" w:eastAsia="zh-CN"/>
        </w:rPr>
        <w:t>8. 4</w:t>
      </w:r>
      <w:r>
        <w:rPr>
          <w:rFonts w:hint="eastAsia"/>
          <w:color w:val="auto"/>
        </w:rPr>
        <w:t>　</w:t>
      </w:r>
      <w:r>
        <w:rPr>
          <w:rFonts w:hint="eastAsia"/>
          <w:color w:val="auto"/>
          <w:lang w:eastAsia="zh-CN"/>
        </w:rPr>
        <w:t>站用电系统</w:t>
      </w:r>
      <w:bookmarkEnd w:id="115"/>
      <w:bookmarkEnd w:id="116"/>
      <w:bookmarkEnd w:id="117"/>
    </w:p>
    <w:p w14:paraId="017E7324">
      <w:pPr>
        <w:pStyle w:val="29"/>
        <w:bidi w:val="0"/>
        <w:rPr>
          <w:color w:val="auto"/>
          <w:lang w:eastAsia="zh-CN"/>
        </w:rPr>
      </w:pPr>
      <w:r>
        <w:rPr>
          <w:rFonts w:hint="eastAsia"/>
          <w:b/>
          <w:bCs/>
          <w:color w:val="auto"/>
          <w:lang w:val="en-US" w:eastAsia="zh-CN"/>
        </w:rPr>
        <w:t>8. 4. 1</w:t>
      </w:r>
      <w:r>
        <w:rPr>
          <w:rFonts w:hint="eastAsia"/>
          <w:color w:val="auto"/>
        </w:rPr>
        <w:t>　</w:t>
      </w:r>
      <w:r>
        <w:rPr>
          <w:color w:val="auto"/>
          <w:lang w:eastAsia="zh-CN"/>
        </w:rPr>
        <w:t>山地光伏电站的站用电系统应保证备用电源的可靠性，宜优先考虑由外部电网引接电源。对于重要的区域汇集型光伏电站可考虑额外设置柴油发电机或储能系统作为应急电源。</w:t>
      </w:r>
    </w:p>
    <w:p w14:paraId="7C578A33">
      <w:pPr>
        <w:pStyle w:val="31"/>
        <w:bidi w:val="0"/>
        <w:outlineLvl w:val="1"/>
        <w:rPr>
          <w:color w:val="auto"/>
          <w:lang w:eastAsia="zh-CN"/>
        </w:rPr>
      </w:pPr>
      <w:bookmarkStart w:id="118" w:name="bookmark32"/>
      <w:bookmarkEnd w:id="118"/>
      <w:bookmarkStart w:id="119" w:name="_Toc25952"/>
      <w:bookmarkStart w:id="120" w:name="_Toc12979"/>
      <w:bookmarkStart w:id="121" w:name="_Toc25317"/>
      <w:r>
        <w:rPr>
          <w:rFonts w:hint="eastAsia"/>
          <w:b/>
          <w:bCs/>
          <w:color w:val="auto"/>
          <w:lang w:val="en-US" w:eastAsia="zh-CN"/>
        </w:rPr>
        <w:t>8. 5</w:t>
      </w:r>
      <w:r>
        <w:rPr>
          <w:rFonts w:hint="eastAsia"/>
          <w:color w:val="auto"/>
        </w:rPr>
        <w:t>　</w:t>
      </w:r>
      <w:r>
        <w:rPr>
          <w:rFonts w:hint="eastAsia"/>
          <w:color w:val="auto"/>
          <w:lang w:eastAsia="zh-CN"/>
        </w:rPr>
        <w:t>直流电源系统</w:t>
      </w:r>
      <w:bookmarkEnd w:id="119"/>
      <w:bookmarkEnd w:id="120"/>
      <w:bookmarkEnd w:id="121"/>
    </w:p>
    <w:p w14:paraId="0BDBBDBD">
      <w:pPr>
        <w:pStyle w:val="29"/>
        <w:bidi w:val="0"/>
        <w:rPr>
          <w:color w:val="auto"/>
          <w:lang w:eastAsia="zh-CN"/>
        </w:rPr>
      </w:pPr>
      <w:bookmarkStart w:id="122" w:name="OLE_LINK5"/>
      <w:r>
        <w:rPr>
          <w:rFonts w:hint="eastAsia"/>
          <w:b/>
          <w:bCs/>
          <w:color w:val="auto"/>
          <w:lang w:val="en-US" w:eastAsia="zh-CN"/>
        </w:rPr>
        <w:t>8. 5. 1</w:t>
      </w:r>
      <w:r>
        <w:rPr>
          <w:rFonts w:hint="eastAsia"/>
          <w:color w:val="auto"/>
        </w:rPr>
        <w:t>　</w:t>
      </w:r>
      <w:r>
        <w:rPr>
          <w:color w:val="auto"/>
          <w:lang w:eastAsia="zh-CN"/>
        </w:rPr>
        <w:t>山地光伏电站升压站内的直流蓄电池组宜布置于具有保温或采暖措施的房间内，避免夜间温度过低影响蓄电池组的寿命。</w:t>
      </w:r>
    </w:p>
    <w:bookmarkEnd w:id="122"/>
    <w:p w14:paraId="1854F5D0">
      <w:pPr>
        <w:pStyle w:val="31"/>
        <w:bidi w:val="0"/>
        <w:outlineLvl w:val="1"/>
        <w:rPr>
          <w:color w:val="auto"/>
          <w:lang w:eastAsia="zh-CN"/>
        </w:rPr>
      </w:pPr>
      <w:bookmarkStart w:id="123" w:name="bookmark33"/>
      <w:bookmarkEnd w:id="123"/>
      <w:bookmarkStart w:id="124" w:name="bookmark167"/>
      <w:bookmarkEnd w:id="124"/>
      <w:bookmarkStart w:id="125" w:name="_Toc24912"/>
      <w:bookmarkStart w:id="126" w:name="_Toc19558"/>
      <w:bookmarkStart w:id="127" w:name="_Toc4108"/>
      <w:r>
        <w:rPr>
          <w:rFonts w:hint="eastAsia"/>
          <w:b/>
          <w:bCs/>
          <w:color w:val="auto"/>
          <w:lang w:val="en-US" w:eastAsia="zh-CN"/>
        </w:rPr>
        <w:t>8. 6</w:t>
      </w:r>
      <w:r>
        <w:rPr>
          <w:rFonts w:hint="eastAsia"/>
          <w:color w:val="auto"/>
        </w:rPr>
        <w:t>　</w:t>
      </w:r>
      <w:r>
        <w:rPr>
          <w:rFonts w:hint="eastAsia"/>
          <w:color w:val="auto"/>
          <w:lang w:eastAsia="zh-CN"/>
        </w:rPr>
        <w:t>配电装置</w:t>
      </w:r>
      <w:bookmarkEnd w:id="125"/>
      <w:bookmarkEnd w:id="126"/>
      <w:bookmarkEnd w:id="127"/>
    </w:p>
    <w:p w14:paraId="611A767A">
      <w:pPr>
        <w:pStyle w:val="29"/>
        <w:bidi w:val="0"/>
        <w:rPr>
          <w:color w:val="auto"/>
          <w:lang w:eastAsia="zh-CN"/>
        </w:rPr>
      </w:pPr>
      <w:r>
        <w:rPr>
          <w:rFonts w:hint="eastAsia"/>
          <w:b/>
          <w:bCs/>
          <w:color w:val="auto"/>
          <w:lang w:val="en-US" w:eastAsia="zh-CN"/>
        </w:rPr>
        <w:t>8. 6. 1</w:t>
      </w:r>
      <w:r>
        <w:rPr>
          <w:rFonts w:hint="eastAsia"/>
          <w:color w:val="auto"/>
        </w:rPr>
        <w:t>　</w:t>
      </w:r>
      <w:r>
        <w:rPr>
          <w:color w:val="auto"/>
          <w:lang w:eastAsia="zh-CN"/>
        </w:rPr>
        <w:t>山地光伏电站110kV及以上电压等级配电装置应根据地理位置、气候条件、用地条件和经济合理性等因素选择户内或户外布置。当技术经济合理时，110kV及以上电压等级配电装置宜采用气体绝缘金属封闭开关设备。</w:t>
      </w:r>
    </w:p>
    <w:p w14:paraId="7B4C78AE">
      <w:pPr>
        <w:pStyle w:val="29"/>
        <w:bidi w:val="0"/>
        <w:rPr>
          <w:color w:val="auto"/>
          <w:lang w:eastAsia="zh-CN"/>
        </w:rPr>
      </w:pPr>
      <w:r>
        <w:rPr>
          <w:rFonts w:hint="eastAsia"/>
          <w:b/>
          <w:bCs/>
          <w:color w:val="auto"/>
          <w:lang w:val="en-US" w:eastAsia="zh-CN"/>
        </w:rPr>
        <w:t>8. 6. 2</w:t>
      </w:r>
      <w:r>
        <w:rPr>
          <w:rFonts w:hint="eastAsia"/>
          <w:color w:val="auto"/>
        </w:rPr>
        <w:t>　</w:t>
      </w:r>
      <w:r>
        <w:rPr>
          <w:color w:val="auto"/>
          <w:lang w:eastAsia="zh-CN"/>
        </w:rPr>
        <w:t>10kV~35kV配电装置宜采用户内成套式高压开关柜配置型式。</w:t>
      </w:r>
    </w:p>
    <w:p w14:paraId="5561BDE5">
      <w:pPr>
        <w:pStyle w:val="29"/>
        <w:bidi w:val="0"/>
        <w:rPr>
          <w:color w:val="auto"/>
          <w:lang w:eastAsia="zh-CN"/>
        </w:rPr>
      </w:pPr>
      <w:r>
        <w:rPr>
          <w:rFonts w:hint="eastAsia"/>
          <w:b/>
          <w:bCs/>
          <w:color w:val="auto"/>
          <w:lang w:val="en-US" w:eastAsia="zh-CN"/>
        </w:rPr>
        <w:t>8. 6. 3</w:t>
      </w:r>
      <w:r>
        <w:rPr>
          <w:rFonts w:hint="eastAsia"/>
          <w:color w:val="auto"/>
        </w:rPr>
        <w:t>　</w:t>
      </w:r>
      <w:r>
        <w:rPr>
          <w:color w:val="auto"/>
          <w:lang w:eastAsia="zh-CN"/>
        </w:rPr>
        <w:t>户外配电装置的外壳应具备抗紫外线、耐腐蚀、耐高低温性能。</w:t>
      </w:r>
    </w:p>
    <w:p w14:paraId="0B3A4FB2">
      <w:pPr>
        <w:pStyle w:val="31"/>
        <w:bidi w:val="0"/>
        <w:outlineLvl w:val="1"/>
        <w:rPr>
          <w:color w:val="auto"/>
          <w:lang w:eastAsia="zh-CN"/>
        </w:rPr>
      </w:pPr>
      <w:bookmarkStart w:id="128" w:name="bookmark34"/>
      <w:bookmarkEnd w:id="128"/>
      <w:bookmarkStart w:id="129" w:name="_Toc311"/>
      <w:bookmarkStart w:id="130" w:name="_Toc21380"/>
      <w:bookmarkStart w:id="131" w:name="_Toc10406"/>
      <w:r>
        <w:rPr>
          <w:rFonts w:hint="eastAsia"/>
          <w:b/>
          <w:bCs/>
          <w:color w:val="auto"/>
          <w:lang w:val="en-US" w:eastAsia="zh-CN"/>
        </w:rPr>
        <w:t>8. 7</w:t>
      </w:r>
      <w:r>
        <w:rPr>
          <w:rFonts w:hint="eastAsia"/>
          <w:color w:val="auto"/>
        </w:rPr>
        <w:t>　</w:t>
      </w:r>
      <w:r>
        <w:rPr>
          <w:rFonts w:hint="eastAsia"/>
          <w:color w:val="auto"/>
          <w:lang w:eastAsia="zh-CN"/>
        </w:rPr>
        <w:t>无功补偿装置</w:t>
      </w:r>
      <w:bookmarkEnd w:id="129"/>
      <w:bookmarkEnd w:id="130"/>
      <w:bookmarkEnd w:id="131"/>
    </w:p>
    <w:p w14:paraId="32F3009F">
      <w:pPr>
        <w:pStyle w:val="29"/>
        <w:bidi w:val="0"/>
        <w:rPr>
          <w:color w:val="auto"/>
          <w:lang w:eastAsia="zh-CN"/>
        </w:rPr>
      </w:pPr>
      <w:r>
        <w:rPr>
          <w:rFonts w:hint="eastAsia"/>
          <w:b/>
          <w:bCs/>
          <w:color w:val="auto"/>
          <w:lang w:val="en-US" w:eastAsia="zh-CN"/>
        </w:rPr>
        <w:t>8. 7. 1</w:t>
      </w:r>
      <w:r>
        <w:rPr>
          <w:rFonts w:hint="eastAsia"/>
          <w:b/>
          <w:bCs/>
          <w:color w:val="auto"/>
        </w:rPr>
        <w:t>　</w:t>
      </w:r>
      <w:r>
        <w:rPr>
          <w:color w:val="auto"/>
          <w:lang w:eastAsia="zh-CN"/>
        </w:rPr>
        <w:t>无功补偿装置的型式宜选用成套设备，根据项目环境特点宜采用户内布置或集装箱式布置。</w:t>
      </w:r>
    </w:p>
    <w:p w14:paraId="65CC9460">
      <w:pPr>
        <w:pStyle w:val="31"/>
        <w:bidi w:val="0"/>
        <w:outlineLvl w:val="1"/>
        <w:rPr>
          <w:color w:val="auto"/>
          <w:lang w:eastAsia="zh-CN"/>
        </w:rPr>
      </w:pPr>
      <w:bookmarkStart w:id="132" w:name="bookmark35"/>
      <w:bookmarkEnd w:id="132"/>
      <w:bookmarkStart w:id="133" w:name="_Toc9937"/>
      <w:bookmarkStart w:id="134" w:name="_Toc20682"/>
      <w:bookmarkStart w:id="135" w:name="_Toc5951"/>
      <w:r>
        <w:rPr>
          <w:rFonts w:hint="eastAsia"/>
          <w:b/>
          <w:bCs/>
          <w:color w:val="auto"/>
          <w:lang w:val="en-US" w:eastAsia="zh-CN"/>
        </w:rPr>
        <w:t>8. 8</w:t>
      </w:r>
      <w:r>
        <w:rPr>
          <w:rFonts w:hint="eastAsia"/>
          <w:color w:val="auto"/>
        </w:rPr>
        <w:t>　</w:t>
      </w:r>
      <w:r>
        <w:rPr>
          <w:rFonts w:hint="eastAsia"/>
          <w:color w:val="auto"/>
          <w:lang w:eastAsia="zh-CN"/>
        </w:rPr>
        <w:t>电气二次</w:t>
      </w:r>
      <w:bookmarkEnd w:id="133"/>
      <w:bookmarkEnd w:id="134"/>
      <w:bookmarkEnd w:id="135"/>
    </w:p>
    <w:p w14:paraId="14A03576">
      <w:pPr>
        <w:pStyle w:val="29"/>
        <w:bidi w:val="0"/>
        <w:rPr>
          <w:color w:val="auto"/>
          <w:lang w:eastAsia="zh-CN"/>
        </w:rPr>
      </w:pPr>
      <w:r>
        <w:rPr>
          <w:rFonts w:hint="eastAsia"/>
          <w:b/>
          <w:bCs/>
          <w:color w:val="auto"/>
          <w:lang w:val="en-US" w:eastAsia="zh-CN"/>
        </w:rPr>
        <w:t>8. 8. 1</w:t>
      </w:r>
      <w:r>
        <w:rPr>
          <w:rFonts w:hint="eastAsia"/>
          <w:color w:val="auto"/>
        </w:rPr>
        <w:t>　</w:t>
      </w:r>
      <w:r>
        <w:rPr>
          <w:color w:val="auto"/>
          <w:lang w:eastAsia="zh-CN"/>
        </w:rPr>
        <w:t>山地光伏电站宜</w:t>
      </w:r>
      <w:r>
        <w:rPr>
          <w:rFonts w:hint="eastAsia"/>
          <w:color w:val="auto"/>
          <w:lang w:val="en-US" w:eastAsia="zh-CN"/>
        </w:rPr>
        <w:t>按</w:t>
      </w:r>
      <w:r>
        <w:rPr>
          <w:color w:val="auto"/>
          <w:lang w:eastAsia="zh-CN"/>
        </w:rPr>
        <w:t>无人值班或少人值守的要求</w:t>
      </w:r>
      <w:r>
        <w:rPr>
          <w:rFonts w:hint="eastAsia"/>
          <w:color w:val="auto"/>
          <w:lang w:val="en-US" w:eastAsia="zh-CN"/>
        </w:rPr>
        <w:t>进行设计</w:t>
      </w:r>
      <w:r>
        <w:rPr>
          <w:color w:val="auto"/>
          <w:lang w:eastAsia="zh-CN"/>
        </w:rPr>
        <w:t>。</w:t>
      </w:r>
    </w:p>
    <w:p w14:paraId="4A191A13">
      <w:pPr>
        <w:pStyle w:val="29"/>
        <w:bidi w:val="0"/>
        <w:rPr>
          <w:color w:val="auto"/>
          <w:lang w:eastAsia="zh-CN"/>
        </w:rPr>
      </w:pPr>
      <w:r>
        <w:rPr>
          <w:rFonts w:hint="eastAsia"/>
          <w:b/>
          <w:bCs/>
          <w:color w:val="auto"/>
          <w:lang w:val="en-US" w:eastAsia="zh-CN"/>
        </w:rPr>
        <w:t>8. 8. 2</w:t>
      </w:r>
      <w:r>
        <w:rPr>
          <w:rFonts w:hint="eastAsia"/>
          <w:color w:val="auto"/>
        </w:rPr>
        <w:t>　</w:t>
      </w:r>
      <w:r>
        <w:rPr>
          <w:color w:val="auto"/>
          <w:lang w:eastAsia="zh-CN"/>
        </w:rPr>
        <w:t>山地光伏电站升压站内相关继电保护的配置应符合当地电网的相关要求。</w:t>
      </w:r>
    </w:p>
    <w:p w14:paraId="2EC254B7">
      <w:pPr>
        <w:pStyle w:val="29"/>
        <w:bidi w:val="0"/>
        <w:rPr>
          <w:color w:val="auto"/>
          <w:lang w:eastAsia="zh-CN"/>
        </w:rPr>
      </w:pPr>
      <w:r>
        <w:rPr>
          <w:rFonts w:hint="eastAsia"/>
          <w:b/>
          <w:bCs/>
          <w:color w:val="auto"/>
          <w:lang w:val="en-US" w:eastAsia="zh-CN"/>
        </w:rPr>
        <w:t>8. 8. 3</w:t>
      </w:r>
      <w:r>
        <w:rPr>
          <w:rFonts w:hint="eastAsia"/>
          <w:color w:val="auto"/>
        </w:rPr>
        <w:t>　</w:t>
      </w:r>
      <w:r>
        <w:rPr>
          <w:color w:val="auto"/>
          <w:lang w:eastAsia="zh-CN"/>
        </w:rPr>
        <w:t>山地光伏电站逆变器的控制应纳入监控系统。就地升压变压器的高、低压主开关应具备就地和远方控制功能。</w:t>
      </w:r>
    </w:p>
    <w:p w14:paraId="397977ED">
      <w:pPr>
        <w:pStyle w:val="31"/>
        <w:bidi w:val="0"/>
        <w:outlineLvl w:val="1"/>
        <w:rPr>
          <w:color w:val="auto"/>
          <w:lang w:eastAsia="zh-CN"/>
        </w:rPr>
      </w:pPr>
      <w:bookmarkStart w:id="136" w:name="bookmark36"/>
      <w:bookmarkEnd w:id="136"/>
      <w:bookmarkStart w:id="137" w:name="_Toc5334"/>
      <w:bookmarkStart w:id="138" w:name="_Toc14052"/>
      <w:bookmarkStart w:id="139" w:name="_Toc9412"/>
      <w:r>
        <w:rPr>
          <w:rFonts w:hint="eastAsia"/>
          <w:b/>
          <w:bCs/>
          <w:color w:val="auto"/>
          <w:lang w:val="en-US" w:eastAsia="zh-CN"/>
        </w:rPr>
        <w:t>8. 9</w:t>
      </w:r>
      <w:r>
        <w:rPr>
          <w:rFonts w:hint="eastAsia"/>
          <w:color w:val="auto"/>
        </w:rPr>
        <w:t>　</w:t>
      </w:r>
      <w:r>
        <w:rPr>
          <w:rFonts w:hint="eastAsia"/>
          <w:color w:val="auto"/>
          <w:lang w:eastAsia="zh-CN"/>
        </w:rPr>
        <w:t>过电压保护和接地</w:t>
      </w:r>
      <w:bookmarkEnd w:id="137"/>
      <w:bookmarkEnd w:id="138"/>
      <w:bookmarkEnd w:id="139"/>
    </w:p>
    <w:p w14:paraId="252A7A73">
      <w:pPr>
        <w:pStyle w:val="29"/>
        <w:bidi w:val="0"/>
        <w:rPr>
          <w:color w:val="auto"/>
          <w:lang w:eastAsia="zh-CN"/>
        </w:rPr>
      </w:pPr>
      <w:r>
        <w:rPr>
          <w:rFonts w:hint="eastAsia"/>
          <w:b/>
          <w:bCs/>
          <w:color w:val="auto"/>
          <w:lang w:val="en-US" w:eastAsia="zh-CN"/>
        </w:rPr>
        <w:t>8. 9. 1</w:t>
      </w:r>
      <w:r>
        <w:rPr>
          <w:rFonts w:hint="eastAsia"/>
          <w:b/>
          <w:bCs/>
          <w:color w:val="auto"/>
        </w:rPr>
        <w:t>　</w:t>
      </w:r>
      <w:r>
        <w:rPr>
          <w:color w:val="auto"/>
          <w:lang w:eastAsia="zh-CN"/>
        </w:rPr>
        <w:t>山地光伏电站光伏方阵区接地应连续可靠，有条件的情况下可将升压变电站或开关站接地网与光伏方阵接地网连接，接地电阻值应满足升压变电站的要求值。</w:t>
      </w:r>
    </w:p>
    <w:p w14:paraId="4D1D5A4F">
      <w:pPr>
        <w:pStyle w:val="29"/>
        <w:bidi w:val="0"/>
        <w:rPr>
          <w:rFonts w:hint="eastAsia"/>
          <w:color w:val="auto"/>
          <w:lang w:eastAsia="zh-CN"/>
        </w:rPr>
      </w:pPr>
      <w:r>
        <w:rPr>
          <w:rFonts w:hint="eastAsia"/>
          <w:b/>
          <w:bCs/>
          <w:color w:val="auto"/>
          <w:lang w:val="en-US" w:eastAsia="zh-CN"/>
        </w:rPr>
        <w:t>8. 9. 2</w:t>
      </w:r>
      <w:r>
        <w:rPr>
          <w:rFonts w:hint="eastAsia"/>
          <w:b/>
          <w:bCs/>
          <w:color w:val="auto"/>
        </w:rPr>
        <w:t>　</w:t>
      </w:r>
      <w:r>
        <w:rPr>
          <w:rFonts w:hint="eastAsia"/>
          <w:color w:val="auto"/>
          <w:lang w:eastAsia="zh-CN"/>
        </w:rPr>
        <w:t>山地光伏电站光伏方阵的金属支架立柱可作为引下线，应与场地内的接地网可靠连接；宜采用热镀锌螺栓连接。</w:t>
      </w:r>
    </w:p>
    <w:p w14:paraId="127B512C">
      <w:pPr>
        <w:pStyle w:val="29"/>
        <w:bidi w:val="0"/>
        <w:rPr>
          <w:rFonts w:hint="eastAsia"/>
          <w:color w:val="auto"/>
          <w:lang w:eastAsia="zh-CN"/>
        </w:rPr>
      </w:pPr>
      <w:r>
        <w:rPr>
          <w:rFonts w:hint="eastAsia"/>
          <w:b/>
          <w:bCs/>
          <w:color w:val="auto"/>
          <w:lang w:val="en-US" w:eastAsia="zh-CN"/>
        </w:rPr>
        <w:t>8. 9. 3</w:t>
      </w:r>
      <w:r>
        <w:rPr>
          <w:rFonts w:hint="eastAsia"/>
          <w:b/>
          <w:bCs/>
          <w:color w:val="auto"/>
        </w:rPr>
        <w:t>　</w:t>
      </w:r>
      <w:r>
        <w:rPr>
          <w:rFonts w:hint="eastAsia"/>
          <w:color w:val="auto"/>
          <w:lang w:eastAsia="zh-CN"/>
        </w:rPr>
        <w:t>当方阵区为高土壤电阻率地区时，可采取外引接地体或填充耕植土等低电阻率物质降低接地电阻值。</w:t>
      </w:r>
    </w:p>
    <w:p w14:paraId="49522EC8">
      <w:pPr>
        <w:pStyle w:val="29"/>
        <w:bidi w:val="0"/>
        <w:rPr>
          <w:color w:val="auto"/>
          <w:lang w:eastAsia="zh-CN"/>
        </w:rPr>
      </w:pPr>
      <w:r>
        <w:rPr>
          <w:rFonts w:hint="eastAsia"/>
          <w:b/>
          <w:bCs/>
          <w:color w:val="auto"/>
          <w:lang w:val="en-US" w:eastAsia="zh-CN"/>
        </w:rPr>
        <w:t>8. 9. 4</w:t>
      </w:r>
      <w:r>
        <w:rPr>
          <w:rFonts w:hint="eastAsia"/>
          <w:b/>
          <w:bCs/>
          <w:color w:val="auto"/>
        </w:rPr>
        <w:t>　</w:t>
      </w:r>
      <w:r>
        <w:rPr>
          <w:rFonts w:hint="eastAsia"/>
          <w:color w:val="auto"/>
          <w:lang w:eastAsia="zh-CN"/>
        </w:rPr>
        <w:t>多个金属支架可就近与其他金属支架进行等电位连接，组成接地群后再与接地网连通，每个支架群与接地网的接地点不应少于两个。</w:t>
      </w:r>
    </w:p>
    <w:p w14:paraId="54024AA0">
      <w:pPr>
        <w:pStyle w:val="31"/>
        <w:bidi w:val="0"/>
        <w:outlineLvl w:val="1"/>
        <w:rPr>
          <w:color w:val="auto"/>
          <w:lang w:eastAsia="zh-CN"/>
        </w:rPr>
      </w:pPr>
      <w:bookmarkStart w:id="140" w:name="bookmark37"/>
      <w:bookmarkEnd w:id="140"/>
      <w:bookmarkStart w:id="141" w:name="_Toc13760"/>
      <w:bookmarkStart w:id="142" w:name="_Toc10283"/>
      <w:bookmarkStart w:id="143" w:name="_Toc26998"/>
      <w:bookmarkStart w:id="144" w:name="_Toc8859"/>
      <w:r>
        <w:rPr>
          <w:rFonts w:hint="eastAsia"/>
          <w:b/>
          <w:bCs/>
          <w:color w:val="auto"/>
          <w:lang w:val="en-US" w:eastAsia="zh-CN"/>
        </w:rPr>
        <w:t>8. 10</w:t>
      </w:r>
      <w:r>
        <w:rPr>
          <w:rFonts w:hint="eastAsia"/>
          <w:color w:val="auto"/>
        </w:rPr>
        <w:t>　</w:t>
      </w:r>
      <w:r>
        <w:rPr>
          <w:rFonts w:hint="eastAsia"/>
          <w:color w:val="auto"/>
          <w:lang w:eastAsia="zh-CN"/>
        </w:rPr>
        <w:t>电缆选择与敷设</w:t>
      </w:r>
      <w:bookmarkEnd w:id="141"/>
      <w:bookmarkEnd w:id="142"/>
      <w:bookmarkEnd w:id="143"/>
      <w:bookmarkEnd w:id="144"/>
    </w:p>
    <w:p w14:paraId="5476B832">
      <w:pPr>
        <w:pStyle w:val="29"/>
        <w:bidi w:val="0"/>
        <w:rPr>
          <w:color w:val="auto"/>
          <w:lang w:eastAsia="zh-CN"/>
        </w:rPr>
      </w:pPr>
      <w:r>
        <w:rPr>
          <w:rFonts w:hint="eastAsia"/>
          <w:b/>
          <w:bCs/>
          <w:color w:val="auto"/>
          <w:lang w:val="en-US" w:eastAsia="zh-CN"/>
        </w:rPr>
        <w:t>8. 10. 1</w:t>
      </w:r>
      <w:r>
        <w:rPr>
          <w:rFonts w:hint="eastAsia"/>
          <w:color w:val="auto"/>
        </w:rPr>
        <w:t>　</w:t>
      </w:r>
      <w:r>
        <w:rPr>
          <w:color w:val="auto"/>
          <w:lang w:eastAsia="zh-CN"/>
        </w:rPr>
        <w:t>山地光伏电站电缆选择应符合现行国家标准《</w:t>
      </w:r>
      <w:r>
        <w:rPr>
          <w:rFonts w:hint="eastAsia"/>
          <w:color w:val="auto"/>
          <w:lang w:eastAsia="zh-CN"/>
        </w:rPr>
        <w:t>电力工程电缆设计标准</w:t>
      </w:r>
      <w:r>
        <w:rPr>
          <w:color w:val="auto"/>
          <w:lang w:eastAsia="zh-CN"/>
        </w:rPr>
        <w:t>》GB</w:t>
      </w:r>
      <w:r>
        <w:rPr>
          <w:rFonts w:hint="eastAsia"/>
          <w:color w:val="auto"/>
          <w:lang w:val="en-US" w:eastAsia="zh-CN"/>
        </w:rPr>
        <w:t xml:space="preserve"> </w:t>
      </w:r>
      <w:r>
        <w:rPr>
          <w:color w:val="auto"/>
          <w:lang w:eastAsia="zh-CN"/>
        </w:rPr>
        <w:t>50217的规定，并应根据区域鼠蚁害情况，采取防啮齿动物、防蚁害的措施。</w:t>
      </w:r>
    </w:p>
    <w:p w14:paraId="53B7B1DC">
      <w:pPr>
        <w:pStyle w:val="29"/>
        <w:bidi w:val="0"/>
        <w:rPr>
          <w:color w:val="auto"/>
          <w:lang w:eastAsia="zh-CN"/>
        </w:rPr>
      </w:pPr>
      <w:r>
        <w:rPr>
          <w:rFonts w:hint="eastAsia"/>
          <w:b/>
          <w:bCs/>
          <w:color w:val="auto"/>
          <w:lang w:val="en-US" w:eastAsia="zh-CN"/>
        </w:rPr>
        <w:t>8. 10. 2</w:t>
      </w:r>
      <w:r>
        <w:rPr>
          <w:rFonts w:hint="eastAsia"/>
          <w:color w:val="auto"/>
        </w:rPr>
        <w:t>　</w:t>
      </w:r>
      <w:r>
        <w:rPr>
          <w:color w:val="auto"/>
          <w:lang w:eastAsia="zh-CN"/>
        </w:rPr>
        <w:t>山地光伏电站光伏区直流电缆宜选用经过认证的光伏专用电线电缆，宜选用具有耐紫外线、耐高温、耐低温、阻燃耐火的电线电缆。光伏组件与组串式汇流箱、光伏组件与组串式逆变器之间的电缆宜采用单芯电缆。</w:t>
      </w:r>
    </w:p>
    <w:p w14:paraId="41901BD9">
      <w:pPr>
        <w:pStyle w:val="29"/>
        <w:bidi w:val="0"/>
        <w:rPr>
          <w:color w:val="auto"/>
          <w:lang w:eastAsia="zh-CN"/>
        </w:rPr>
      </w:pPr>
      <w:r>
        <w:rPr>
          <w:rFonts w:hint="eastAsia"/>
          <w:b/>
          <w:bCs/>
          <w:color w:val="auto"/>
          <w:lang w:val="en-US" w:eastAsia="zh-CN"/>
        </w:rPr>
        <w:t>8. 10. 3</w:t>
      </w:r>
      <w:r>
        <w:rPr>
          <w:rFonts w:hint="eastAsia"/>
          <w:color w:val="auto"/>
        </w:rPr>
        <w:t>　</w:t>
      </w:r>
      <w:r>
        <w:rPr>
          <w:color w:val="auto"/>
          <w:lang w:eastAsia="zh-CN"/>
        </w:rPr>
        <w:t>光伏区直流电缆选型时应尽量降低直流电缆损耗，减少电缆用量。对于组串式逆变器，光伏组串至逆变器直流侧的直流电缆最大压降不宜超过2%。</w:t>
      </w:r>
    </w:p>
    <w:p w14:paraId="783DE7DB">
      <w:pPr>
        <w:pStyle w:val="29"/>
        <w:bidi w:val="0"/>
        <w:rPr>
          <w:color w:val="auto"/>
          <w:lang w:eastAsia="zh-CN"/>
        </w:rPr>
      </w:pPr>
      <w:r>
        <w:rPr>
          <w:rFonts w:hint="eastAsia"/>
          <w:b/>
          <w:bCs/>
          <w:color w:val="auto"/>
          <w:lang w:val="en-US" w:eastAsia="zh-CN"/>
        </w:rPr>
        <w:t>8. 10. 4</w:t>
      </w:r>
      <w:r>
        <w:rPr>
          <w:rFonts w:hint="eastAsia"/>
          <w:color w:val="auto"/>
        </w:rPr>
        <w:t>　</w:t>
      </w:r>
      <w:r>
        <w:rPr>
          <w:color w:val="auto"/>
          <w:lang w:eastAsia="zh-CN"/>
        </w:rPr>
        <w:t>山地光伏电站光伏区电缆敷设可采用直埋、电缆桥架、电缆线槽等方式。对于难以开挖地段或与农业、牧业相结合的光伏电站，宜采用电缆桥架或电缆线槽敷设方式，电缆桥架、电缆线槽的设置应便于通行、种植和养殖作业，满足空间立体化利用设计的要求。</w:t>
      </w:r>
    </w:p>
    <w:p w14:paraId="457E7786">
      <w:pPr>
        <w:pStyle w:val="31"/>
        <w:bidi w:val="0"/>
        <w:outlineLvl w:val="2"/>
        <w:rPr>
          <w:color w:val="auto"/>
          <w:lang w:eastAsia="zh-CN"/>
        </w:rPr>
      </w:pPr>
      <w:bookmarkStart w:id="145" w:name="_Toc13879"/>
      <w:r>
        <w:rPr>
          <w:rFonts w:hint="eastAsia"/>
          <w:b/>
          <w:bCs/>
          <w:color w:val="auto"/>
          <w:lang w:val="en-US" w:eastAsia="zh-CN"/>
        </w:rPr>
        <w:t>8. 11</w:t>
      </w:r>
      <w:r>
        <w:rPr>
          <w:rFonts w:hint="eastAsia"/>
          <w:color w:val="auto"/>
        </w:rPr>
        <w:t>　</w:t>
      </w:r>
      <w:r>
        <w:rPr>
          <w:rFonts w:hint="eastAsia"/>
          <w:color w:val="auto"/>
          <w:lang w:eastAsia="zh-CN"/>
        </w:rPr>
        <w:t>集电线路</w:t>
      </w:r>
      <w:bookmarkEnd w:id="145"/>
    </w:p>
    <w:p w14:paraId="77536709">
      <w:pPr>
        <w:pStyle w:val="29"/>
        <w:bidi w:val="0"/>
        <w:rPr>
          <w:color w:val="auto"/>
          <w:lang w:eastAsia="zh-CN"/>
        </w:rPr>
      </w:pPr>
      <w:r>
        <w:rPr>
          <w:rFonts w:hint="eastAsia"/>
          <w:b/>
          <w:bCs/>
          <w:color w:val="auto"/>
          <w:lang w:val="en-US" w:eastAsia="zh-CN"/>
        </w:rPr>
        <w:t>8. 11. 1</w:t>
      </w:r>
      <w:r>
        <w:rPr>
          <w:rFonts w:hint="eastAsia"/>
          <w:color w:val="auto"/>
        </w:rPr>
        <w:t>　</w:t>
      </w:r>
      <w:r>
        <w:rPr>
          <w:rFonts w:hint="eastAsia"/>
          <w:color w:val="auto"/>
          <w:lang w:eastAsia="zh-CN"/>
        </w:rPr>
        <w:t>山地光伏电站的集电线路的设计应符合现行国家标准《电力工程电缆设计标准》</w:t>
      </w:r>
      <w:r>
        <w:rPr>
          <w:color w:val="auto"/>
          <w:lang w:eastAsia="zh-CN"/>
        </w:rPr>
        <w:t>GB</w:t>
      </w:r>
      <w:r>
        <w:rPr>
          <w:rFonts w:hint="eastAsia"/>
          <w:color w:val="auto"/>
          <w:lang w:val="en-US" w:eastAsia="zh-CN"/>
        </w:rPr>
        <w:t xml:space="preserve"> </w:t>
      </w:r>
      <w:r>
        <w:rPr>
          <w:color w:val="auto"/>
          <w:lang w:eastAsia="zh-CN"/>
        </w:rPr>
        <w:t>50217</w:t>
      </w:r>
      <w:r>
        <w:rPr>
          <w:rFonts w:hint="eastAsia"/>
          <w:color w:val="auto"/>
          <w:lang w:val="en-US" w:eastAsia="zh-CN"/>
        </w:rPr>
        <w:t>和</w:t>
      </w:r>
      <w:r>
        <w:rPr>
          <w:rFonts w:hint="eastAsia"/>
          <w:color w:val="auto"/>
          <w:lang w:eastAsia="zh-CN"/>
        </w:rPr>
        <w:t>《66kV及以下架空电力线路设计标准》</w:t>
      </w:r>
      <w:r>
        <w:rPr>
          <w:color w:val="auto"/>
          <w:lang w:eastAsia="zh-CN"/>
        </w:rPr>
        <w:t>GB</w:t>
      </w:r>
      <w:r>
        <w:rPr>
          <w:rFonts w:hint="eastAsia"/>
          <w:color w:val="auto"/>
          <w:lang w:val="en-US" w:eastAsia="zh-CN"/>
        </w:rPr>
        <w:t xml:space="preserve"> </w:t>
      </w:r>
      <w:r>
        <w:rPr>
          <w:color w:val="auto"/>
          <w:lang w:eastAsia="zh-CN"/>
        </w:rPr>
        <w:t>50061</w:t>
      </w:r>
      <w:r>
        <w:rPr>
          <w:rFonts w:hint="eastAsia"/>
          <w:color w:val="auto"/>
          <w:lang w:eastAsia="zh-CN"/>
        </w:rPr>
        <w:t>的规定。</w:t>
      </w:r>
    </w:p>
    <w:p w14:paraId="512378F2">
      <w:pPr>
        <w:pStyle w:val="29"/>
        <w:bidi w:val="0"/>
        <w:rPr>
          <w:rFonts w:hint="eastAsia"/>
          <w:color w:val="auto"/>
          <w:lang w:eastAsia="zh-CN"/>
        </w:rPr>
      </w:pPr>
      <w:r>
        <w:rPr>
          <w:rFonts w:hint="eastAsia"/>
          <w:b/>
          <w:bCs/>
          <w:color w:val="auto"/>
          <w:lang w:val="en-US" w:eastAsia="zh-CN"/>
        </w:rPr>
        <w:t>8. 11. 2</w:t>
      </w:r>
      <w:r>
        <w:rPr>
          <w:rFonts w:hint="eastAsia"/>
          <w:color w:val="auto"/>
        </w:rPr>
        <w:t>　</w:t>
      </w:r>
      <w:r>
        <w:rPr>
          <w:rFonts w:hint="eastAsia"/>
          <w:color w:val="auto"/>
          <w:lang w:eastAsia="zh-CN"/>
        </w:rPr>
        <w:t>山地光伏电站的集电线路可采用电缆直埋与架空相结合的方式，路径设计应考虑用地性质等要求，经技术经济比选确定。</w:t>
      </w:r>
    </w:p>
    <w:p w14:paraId="10699255">
      <w:pPr>
        <w:pStyle w:val="29"/>
        <w:bidi w:val="0"/>
        <w:rPr>
          <w:rFonts w:hint="eastAsia"/>
          <w:color w:val="auto"/>
          <w:lang w:eastAsia="zh-CN"/>
        </w:rPr>
      </w:pPr>
    </w:p>
    <w:p w14:paraId="1328CF3B">
      <w:pPr>
        <w:pStyle w:val="29"/>
        <w:bidi w:val="0"/>
        <w:rPr>
          <w:rFonts w:hint="eastAsia"/>
          <w:color w:val="auto"/>
          <w:lang w:eastAsia="zh-CN"/>
        </w:rPr>
      </w:pPr>
    </w:p>
    <w:p w14:paraId="4A2B107C">
      <w:pPr>
        <w:pStyle w:val="29"/>
        <w:bidi w:val="0"/>
        <w:rPr>
          <w:rFonts w:hint="eastAsia"/>
          <w:color w:val="auto"/>
          <w:lang w:eastAsia="zh-CN"/>
        </w:rPr>
      </w:pPr>
    </w:p>
    <w:p w14:paraId="67464B65">
      <w:pPr>
        <w:pStyle w:val="29"/>
        <w:bidi w:val="0"/>
        <w:rPr>
          <w:rFonts w:hint="eastAsia"/>
          <w:color w:val="auto"/>
          <w:lang w:eastAsia="zh-CN"/>
        </w:rPr>
      </w:pPr>
    </w:p>
    <w:p w14:paraId="542ED322">
      <w:pPr>
        <w:pStyle w:val="29"/>
        <w:bidi w:val="0"/>
        <w:rPr>
          <w:rFonts w:hint="eastAsia"/>
          <w:color w:val="auto"/>
          <w:lang w:eastAsia="zh-CN"/>
        </w:rPr>
      </w:pPr>
    </w:p>
    <w:p w14:paraId="3093EEAD">
      <w:pPr>
        <w:pStyle w:val="29"/>
        <w:bidi w:val="0"/>
        <w:rPr>
          <w:rFonts w:hint="eastAsia"/>
          <w:color w:val="auto"/>
          <w:lang w:eastAsia="zh-CN"/>
        </w:rPr>
      </w:pPr>
    </w:p>
    <w:p w14:paraId="11B04BF5">
      <w:pPr>
        <w:pStyle w:val="29"/>
        <w:bidi w:val="0"/>
        <w:rPr>
          <w:rFonts w:hint="eastAsia"/>
          <w:color w:val="auto"/>
          <w:lang w:eastAsia="zh-CN"/>
        </w:rPr>
      </w:pPr>
    </w:p>
    <w:p w14:paraId="4A5E6B17">
      <w:pPr>
        <w:pStyle w:val="29"/>
        <w:bidi w:val="0"/>
        <w:rPr>
          <w:rFonts w:hint="eastAsia"/>
          <w:color w:val="auto"/>
          <w:lang w:eastAsia="zh-CN"/>
        </w:rPr>
      </w:pPr>
    </w:p>
    <w:p w14:paraId="2EEF1180">
      <w:pPr>
        <w:pStyle w:val="29"/>
        <w:bidi w:val="0"/>
        <w:rPr>
          <w:rFonts w:hint="eastAsia"/>
          <w:color w:val="auto"/>
          <w:lang w:eastAsia="zh-CN"/>
        </w:rPr>
      </w:pPr>
    </w:p>
    <w:p w14:paraId="5D3D74A6">
      <w:pPr>
        <w:pStyle w:val="29"/>
        <w:bidi w:val="0"/>
        <w:rPr>
          <w:rFonts w:hint="eastAsia"/>
          <w:color w:val="auto"/>
          <w:lang w:eastAsia="zh-CN"/>
        </w:rPr>
      </w:pPr>
    </w:p>
    <w:p w14:paraId="6BA641A4">
      <w:pPr>
        <w:pStyle w:val="29"/>
        <w:bidi w:val="0"/>
        <w:rPr>
          <w:rFonts w:hint="eastAsia"/>
          <w:color w:val="auto"/>
          <w:lang w:eastAsia="zh-CN"/>
        </w:rPr>
      </w:pPr>
    </w:p>
    <w:p w14:paraId="3C28144C">
      <w:pPr>
        <w:pStyle w:val="29"/>
        <w:bidi w:val="0"/>
        <w:rPr>
          <w:rFonts w:hint="eastAsia"/>
          <w:color w:val="auto"/>
          <w:lang w:eastAsia="zh-CN"/>
        </w:rPr>
      </w:pPr>
    </w:p>
    <w:p w14:paraId="627D40BF">
      <w:pPr>
        <w:pStyle w:val="29"/>
        <w:bidi w:val="0"/>
        <w:rPr>
          <w:rFonts w:hint="eastAsia"/>
          <w:color w:val="auto"/>
          <w:lang w:eastAsia="zh-CN"/>
        </w:rPr>
      </w:pPr>
    </w:p>
    <w:p w14:paraId="2520D782">
      <w:pPr>
        <w:pStyle w:val="29"/>
        <w:bidi w:val="0"/>
        <w:rPr>
          <w:rFonts w:hint="eastAsia"/>
          <w:color w:val="auto"/>
          <w:lang w:eastAsia="zh-CN"/>
        </w:rPr>
      </w:pPr>
    </w:p>
    <w:p w14:paraId="5FE04F30">
      <w:pPr>
        <w:pStyle w:val="29"/>
        <w:bidi w:val="0"/>
        <w:rPr>
          <w:rFonts w:hint="eastAsia"/>
          <w:color w:val="auto"/>
          <w:lang w:eastAsia="zh-CN"/>
        </w:rPr>
      </w:pPr>
    </w:p>
    <w:p w14:paraId="2A051C7E">
      <w:pPr>
        <w:pStyle w:val="29"/>
        <w:bidi w:val="0"/>
        <w:rPr>
          <w:rFonts w:hint="eastAsia"/>
          <w:color w:val="auto"/>
          <w:lang w:eastAsia="zh-CN"/>
        </w:rPr>
      </w:pPr>
    </w:p>
    <w:p w14:paraId="71CC4ADE">
      <w:pPr>
        <w:pStyle w:val="29"/>
        <w:bidi w:val="0"/>
        <w:rPr>
          <w:rFonts w:hint="eastAsia"/>
          <w:color w:val="auto"/>
          <w:lang w:eastAsia="zh-CN"/>
        </w:rPr>
      </w:pPr>
    </w:p>
    <w:p w14:paraId="60BD5A56">
      <w:pPr>
        <w:pStyle w:val="29"/>
        <w:bidi w:val="0"/>
        <w:rPr>
          <w:rFonts w:hint="eastAsia"/>
          <w:color w:val="auto"/>
          <w:lang w:eastAsia="zh-CN"/>
        </w:rPr>
      </w:pPr>
    </w:p>
    <w:p w14:paraId="67DAE923">
      <w:pPr>
        <w:pStyle w:val="30"/>
        <w:bidi w:val="0"/>
        <w:rPr>
          <w:rFonts w:hint="eastAsia"/>
          <w:color w:val="auto"/>
          <w:lang w:eastAsia="zh-CN"/>
        </w:rPr>
      </w:pPr>
      <w:bookmarkStart w:id="146" w:name="bookmark38"/>
      <w:bookmarkEnd w:id="146"/>
      <w:bookmarkStart w:id="147" w:name="_Toc14188"/>
      <w:bookmarkStart w:id="148" w:name="_Toc25040"/>
    </w:p>
    <w:p w14:paraId="27198896">
      <w:pPr>
        <w:pStyle w:val="30"/>
        <w:bidi w:val="0"/>
        <w:rPr>
          <w:rFonts w:hint="eastAsia"/>
          <w:color w:val="auto"/>
          <w:lang w:eastAsia="zh-CN"/>
        </w:rPr>
      </w:pPr>
    </w:p>
    <w:p w14:paraId="03302491">
      <w:pPr>
        <w:pStyle w:val="30"/>
        <w:bidi w:val="0"/>
        <w:rPr>
          <w:rFonts w:hint="eastAsia"/>
          <w:color w:val="auto"/>
          <w:lang w:eastAsia="zh-CN"/>
        </w:rPr>
      </w:pPr>
    </w:p>
    <w:p w14:paraId="54529D2C">
      <w:pPr>
        <w:pStyle w:val="30"/>
        <w:bidi w:val="0"/>
        <w:rPr>
          <w:rFonts w:hint="eastAsia"/>
          <w:color w:val="auto"/>
          <w:lang w:eastAsia="zh-CN"/>
        </w:rPr>
      </w:pPr>
    </w:p>
    <w:p w14:paraId="06A02CD6">
      <w:pPr>
        <w:pStyle w:val="30"/>
        <w:bidi w:val="0"/>
        <w:outlineLvl w:val="0"/>
        <w:rPr>
          <w:color w:val="auto"/>
          <w:lang w:eastAsia="zh-CN"/>
        </w:rPr>
      </w:pPr>
      <w:bookmarkStart w:id="149" w:name="_Toc13913"/>
      <w:bookmarkStart w:id="150" w:name="_Toc22155"/>
      <w:r>
        <w:rPr>
          <w:rFonts w:hint="eastAsia"/>
          <w:b/>
          <w:bCs/>
          <w:color w:val="auto"/>
          <w:lang w:val="en-US" w:eastAsia="zh-CN"/>
        </w:rPr>
        <w:t>9</w:t>
      </w:r>
      <w:r>
        <w:rPr>
          <w:rFonts w:hint="eastAsia"/>
          <w:color w:val="auto"/>
        </w:rPr>
        <w:t>　</w:t>
      </w:r>
      <w:r>
        <w:rPr>
          <w:rFonts w:hint="eastAsia"/>
          <w:color w:val="auto"/>
          <w:lang w:eastAsia="zh-CN"/>
        </w:rPr>
        <w:t>接入系统</w:t>
      </w:r>
      <w:bookmarkEnd w:id="147"/>
      <w:bookmarkEnd w:id="148"/>
      <w:bookmarkEnd w:id="149"/>
      <w:bookmarkEnd w:id="150"/>
    </w:p>
    <w:p w14:paraId="3DDCBD14">
      <w:pPr>
        <w:pStyle w:val="31"/>
        <w:bidi w:val="0"/>
        <w:outlineLvl w:val="1"/>
        <w:rPr>
          <w:color w:val="auto"/>
          <w:lang w:eastAsia="zh-CN"/>
        </w:rPr>
      </w:pPr>
      <w:bookmarkStart w:id="151" w:name="bookmark39"/>
      <w:bookmarkEnd w:id="151"/>
      <w:bookmarkStart w:id="152" w:name="_Toc19584"/>
      <w:bookmarkStart w:id="153" w:name="_Toc11330"/>
      <w:bookmarkStart w:id="154" w:name="_Toc5472"/>
      <w:r>
        <w:rPr>
          <w:rFonts w:hint="eastAsia"/>
          <w:b/>
          <w:bCs/>
          <w:color w:val="auto"/>
          <w:lang w:val="en-US" w:eastAsia="zh-CN"/>
        </w:rPr>
        <w:t>9. 1</w:t>
      </w:r>
      <w:r>
        <w:rPr>
          <w:rFonts w:hint="eastAsia"/>
          <w:color w:val="auto"/>
        </w:rPr>
        <w:t>　</w:t>
      </w:r>
      <w:r>
        <w:rPr>
          <w:rFonts w:hint="eastAsia"/>
          <w:color w:val="auto"/>
          <w:lang w:eastAsia="zh-CN"/>
        </w:rPr>
        <w:t>一般规定</w:t>
      </w:r>
      <w:bookmarkEnd w:id="152"/>
      <w:bookmarkEnd w:id="153"/>
      <w:bookmarkEnd w:id="154"/>
    </w:p>
    <w:p w14:paraId="45EFB298">
      <w:pPr>
        <w:pStyle w:val="29"/>
        <w:bidi w:val="0"/>
        <w:rPr>
          <w:rFonts w:hint="eastAsia"/>
          <w:color w:val="auto"/>
          <w:lang w:eastAsia="zh-CN"/>
        </w:rPr>
      </w:pPr>
      <w:r>
        <w:rPr>
          <w:rFonts w:hint="eastAsia"/>
          <w:b/>
          <w:bCs/>
          <w:color w:val="auto"/>
          <w:lang w:val="en-US" w:eastAsia="zh-CN"/>
        </w:rPr>
        <w:t>9. 1. 1</w:t>
      </w:r>
      <w:r>
        <w:rPr>
          <w:rFonts w:hint="eastAsia"/>
          <w:color w:val="auto"/>
        </w:rPr>
        <w:t>　</w:t>
      </w:r>
      <w:r>
        <w:rPr>
          <w:rFonts w:hint="eastAsia"/>
          <w:color w:val="auto"/>
          <w:lang w:eastAsia="zh-CN"/>
        </w:rPr>
        <w:t>山地光伏电站的接入系统设计，应遵循国家、行业现行有关标准的规定，并应符合南方电网及云南电网有限责任公司的相关技术规范、管理规定和电网发展规划的要求。</w:t>
      </w:r>
    </w:p>
    <w:p w14:paraId="409D03EA">
      <w:pPr>
        <w:pStyle w:val="29"/>
        <w:bidi w:val="0"/>
        <w:rPr>
          <w:rFonts w:hint="eastAsia"/>
          <w:color w:val="auto"/>
          <w:lang w:eastAsia="zh-CN"/>
        </w:rPr>
      </w:pPr>
      <w:r>
        <w:rPr>
          <w:rFonts w:hint="eastAsia"/>
          <w:b/>
          <w:bCs/>
          <w:color w:val="auto"/>
          <w:lang w:val="en-US" w:eastAsia="zh-CN"/>
        </w:rPr>
        <w:t>9. 1. 2</w:t>
      </w:r>
      <w:r>
        <w:rPr>
          <w:rFonts w:hint="eastAsia"/>
          <w:color w:val="auto"/>
        </w:rPr>
        <w:t>　</w:t>
      </w:r>
      <w:r>
        <w:rPr>
          <w:rFonts w:hint="eastAsia"/>
          <w:color w:val="auto"/>
          <w:lang w:eastAsia="zh-CN"/>
        </w:rPr>
        <w:t>接入系统设计应贯彻“分层分区、就地消纳”的原则，以审定的中长期电力规划为基础，结合电站建设规模、山地地形特点、资源状况、电网条件及送出能力，进行多方案技术经济比较，提出安全可靠、经济合理的推荐方案。</w:t>
      </w:r>
    </w:p>
    <w:p w14:paraId="229F6235">
      <w:pPr>
        <w:pStyle w:val="29"/>
        <w:bidi w:val="0"/>
        <w:rPr>
          <w:color w:val="auto"/>
          <w:lang w:eastAsia="zh-CN"/>
        </w:rPr>
      </w:pPr>
      <w:r>
        <w:rPr>
          <w:rFonts w:hint="eastAsia"/>
          <w:b/>
          <w:bCs/>
          <w:color w:val="auto"/>
          <w:lang w:val="en-US" w:eastAsia="zh-CN"/>
        </w:rPr>
        <w:t>9. 1. 3</w:t>
      </w:r>
      <w:r>
        <w:rPr>
          <w:rFonts w:hint="eastAsia"/>
          <w:color w:val="auto"/>
        </w:rPr>
        <w:t>　</w:t>
      </w:r>
      <w:r>
        <w:rPr>
          <w:rFonts w:hint="eastAsia"/>
          <w:color w:val="auto"/>
          <w:lang w:eastAsia="zh-CN"/>
        </w:rPr>
        <w:t>接入系统设计的内容和深度应满足《云南电网有限责任公司35kV～220kV集中式光伏项目接入系统内容深度规定》的要求，并应包含电力电量平衡、接入电网方案、潮流计算、稳定分析、短路电流计算、无功补偿、系统继电保护、调度自动化、系统通信及电能计量等。</w:t>
      </w:r>
    </w:p>
    <w:p w14:paraId="0D0F026A">
      <w:pPr>
        <w:pStyle w:val="29"/>
        <w:bidi w:val="0"/>
        <w:rPr>
          <w:color w:val="auto"/>
          <w:lang w:eastAsia="zh-CN"/>
        </w:rPr>
      </w:pPr>
      <w:r>
        <w:rPr>
          <w:rFonts w:hint="eastAsia"/>
          <w:b/>
          <w:bCs/>
          <w:color w:val="auto"/>
          <w:lang w:val="en-US" w:eastAsia="zh-CN"/>
        </w:rPr>
        <w:t>9. 1. 4</w:t>
      </w:r>
      <w:r>
        <w:rPr>
          <w:rFonts w:hint="eastAsia"/>
          <w:color w:val="auto"/>
        </w:rPr>
        <w:t>　</w:t>
      </w:r>
      <w:r>
        <w:rPr>
          <w:rFonts w:hint="eastAsia"/>
          <w:color w:val="auto"/>
          <w:lang w:eastAsia="zh-CN"/>
        </w:rPr>
        <w:t>山地光伏电站的出力特性分析应充分考虑山地气候、地形遮蔽、组件朝向与倾角等因素的影响，为电力系统适应性分析提供准确依据。</w:t>
      </w:r>
    </w:p>
    <w:p w14:paraId="13D9B9F8">
      <w:pPr>
        <w:pStyle w:val="29"/>
        <w:bidi w:val="0"/>
        <w:rPr>
          <w:rFonts w:hint="default"/>
          <w:color w:val="auto"/>
          <w:highlight w:val="none"/>
          <w:lang w:eastAsia="zh-CN"/>
        </w:rPr>
      </w:pPr>
      <w:r>
        <w:rPr>
          <w:rFonts w:hint="eastAsia"/>
          <w:b/>
          <w:bCs/>
          <w:color w:val="auto"/>
          <w:lang w:val="en-US" w:eastAsia="zh-CN"/>
        </w:rPr>
        <w:t>9. 1. 5</w:t>
      </w:r>
      <w:r>
        <w:rPr>
          <w:rFonts w:hint="eastAsia"/>
          <w:color w:val="auto"/>
        </w:rPr>
        <w:t>　</w:t>
      </w:r>
      <w:r>
        <w:rPr>
          <w:rFonts w:hint="eastAsia"/>
          <w:color w:val="auto"/>
          <w:lang w:eastAsia="zh-CN"/>
        </w:rPr>
        <w:t>接入系统设计应满足电力系统安全稳定运行的要求，必要时开展无功电压、电能质量、次/超同步振荡等专题研究。</w:t>
      </w:r>
    </w:p>
    <w:p w14:paraId="03696C51">
      <w:pPr>
        <w:pStyle w:val="31"/>
        <w:bidi w:val="0"/>
        <w:outlineLvl w:val="1"/>
        <w:rPr>
          <w:color w:val="auto"/>
          <w:lang w:eastAsia="zh-CN"/>
        </w:rPr>
      </w:pPr>
      <w:bookmarkStart w:id="155" w:name="bookmark40"/>
      <w:bookmarkEnd w:id="155"/>
      <w:bookmarkStart w:id="156" w:name="_Toc1196"/>
      <w:bookmarkStart w:id="157" w:name="_Toc17762"/>
      <w:bookmarkStart w:id="158" w:name="_Toc21947"/>
      <w:bookmarkStart w:id="159" w:name="_Toc31432"/>
      <w:r>
        <w:rPr>
          <w:rFonts w:hint="eastAsia"/>
          <w:b/>
          <w:bCs/>
          <w:color w:val="auto"/>
          <w:lang w:val="en-US" w:eastAsia="zh-CN"/>
        </w:rPr>
        <w:t>9. 2</w:t>
      </w:r>
      <w:r>
        <w:rPr>
          <w:rFonts w:hint="eastAsia"/>
          <w:color w:val="auto"/>
        </w:rPr>
        <w:t>　</w:t>
      </w:r>
      <w:r>
        <w:rPr>
          <w:rFonts w:hint="eastAsia"/>
          <w:color w:val="auto"/>
          <w:lang w:eastAsia="zh-CN"/>
        </w:rPr>
        <w:t>并网要求</w:t>
      </w:r>
      <w:bookmarkEnd w:id="156"/>
      <w:bookmarkEnd w:id="157"/>
      <w:bookmarkEnd w:id="158"/>
      <w:bookmarkEnd w:id="159"/>
    </w:p>
    <w:p w14:paraId="1DDD4906">
      <w:pPr>
        <w:pStyle w:val="29"/>
        <w:bidi w:val="0"/>
        <w:rPr>
          <w:color w:val="auto"/>
        </w:rPr>
      </w:pPr>
      <w:r>
        <w:rPr>
          <w:rFonts w:hint="eastAsia"/>
          <w:b/>
          <w:bCs/>
          <w:color w:val="auto"/>
          <w:lang w:val="en-US" w:eastAsia="zh-CN"/>
        </w:rPr>
        <w:t>9. 2. 1</w:t>
      </w:r>
      <w:r>
        <w:rPr>
          <w:rFonts w:hint="eastAsia"/>
          <w:b/>
          <w:bCs/>
          <w:color w:val="auto"/>
        </w:rPr>
        <w:t>　</w:t>
      </w:r>
      <w:r>
        <w:rPr>
          <w:color w:val="auto"/>
          <w:lang w:eastAsia="zh-CN"/>
        </w:rPr>
        <w:t>并网电压等级应根据电站最终装机容量、送电距离、电网现状及发展规划等因素，参照《光伏发电并网技术标准》Q/CSG</w:t>
      </w:r>
      <w:r>
        <w:rPr>
          <w:rFonts w:hint="eastAsia"/>
          <w:color w:val="auto"/>
          <w:lang w:val="en-US" w:eastAsia="zh-CN"/>
        </w:rPr>
        <w:t xml:space="preserve"> </w:t>
      </w:r>
      <w:r>
        <w:rPr>
          <w:color w:val="auto"/>
          <w:lang w:eastAsia="zh-CN"/>
        </w:rPr>
        <w:t>1211006中表1的规定，并通过技术经济比较后确定。</w:t>
      </w:r>
      <w:r>
        <w:rPr>
          <w:color w:val="auto"/>
        </w:rPr>
        <w:t>原则上应优先在本电压等级内实现电力消纳。</w:t>
      </w:r>
    </w:p>
    <w:p w14:paraId="0E67DBCF">
      <w:pPr>
        <w:pStyle w:val="29"/>
        <w:bidi w:val="0"/>
        <w:rPr>
          <w:color w:val="auto"/>
          <w:lang w:eastAsia="zh-CN"/>
        </w:rPr>
      </w:pPr>
      <w:r>
        <w:rPr>
          <w:rFonts w:hint="eastAsia"/>
          <w:b/>
          <w:bCs/>
          <w:color w:val="auto"/>
          <w:lang w:val="en-US" w:eastAsia="zh-CN"/>
        </w:rPr>
        <w:t>9. 2. 2</w:t>
      </w:r>
      <w:r>
        <w:rPr>
          <w:rFonts w:hint="eastAsia"/>
          <w:b/>
          <w:bCs/>
          <w:color w:val="auto"/>
        </w:rPr>
        <w:t>　</w:t>
      </w:r>
      <w:r>
        <w:rPr>
          <w:color w:val="auto"/>
          <w:lang w:eastAsia="zh-CN"/>
        </w:rPr>
        <w:t>山地光伏电站应满足</w:t>
      </w:r>
      <w:r>
        <w:rPr>
          <w:rFonts w:hint="eastAsia"/>
          <w:color w:val="auto"/>
          <w:lang w:val="en-US" w:eastAsia="zh-CN"/>
        </w:rPr>
        <w:t>现行国家标准</w:t>
      </w:r>
      <w:r>
        <w:rPr>
          <w:color w:val="auto"/>
          <w:lang w:eastAsia="zh-CN"/>
        </w:rPr>
        <w:t>《</w:t>
      </w:r>
      <w:r>
        <w:rPr>
          <w:rFonts w:hint="eastAsia"/>
          <w:color w:val="auto"/>
          <w:lang w:eastAsia="zh-CN"/>
        </w:rPr>
        <w:t>光伏发电站接入电力系统技术规定</w:t>
      </w:r>
      <w:r>
        <w:rPr>
          <w:color w:val="auto"/>
          <w:lang w:eastAsia="zh-CN"/>
        </w:rPr>
        <w:t>》GB/T</w:t>
      </w:r>
      <w:r>
        <w:rPr>
          <w:rFonts w:hint="eastAsia"/>
          <w:color w:val="auto"/>
          <w:lang w:val="en-US" w:eastAsia="zh-CN"/>
        </w:rPr>
        <w:t xml:space="preserve"> </w:t>
      </w:r>
      <w:r>
        <w:rPr>
          <w:color w:val="auto"/>
          <w:lang w:eastAsia="zh-CN"/>
        </w:rPr>
        <w:t>19964及南方电网、云南电网相关并网技术标准的要求，具备功率控制、无功调节、低/高电压穿越、频率适应性等基本功能。</w:t>
      </w:r>
    </w:p>
    <w:p w14:paraId="46321AF5">
      <w:pPr>
        <w:pStyle w:val="29"/>
        <w:bidi w:val="0"/>
        <w:rPr>
          <w:color w:val="auto"/>
          <w:lang w:eastAsia="zh-CN"/>
        </w:rPr>
      </w:pPr>
      <w:r>
        <w:rPr>
          <w:rFonts w:hint="eastAsia"/>
          <w:b/>
          <w:bCs/>
          <w:color w:val="auto"/>
          <w:lang w:val="en-US" w:eastAsia="zh-CN"/>
        </w:rPr>
        <w:t>9. 2. 3</w:t>
      </w:r>
      <w:r>
        <w:rPr>
          <w:rFonts w:hint="eastAsia"/>
          <w:b/>
          <w:bCs/>
          <w:color w:val="auto"/>
        </w:rPr>
        <w:t>　</w:t>
      </w:r>
      <w:r>
        <w:rPr>
          <w:color w:val="auto"/>
          <w:lang w:eastAsia="zh-CN"/>
        </w:rPr>
        <w:t>电站应配置有功功率控制系统，能够接收并自动执行电网调度机构下达的有功功率及功率变化率指令。正常运行情况下，有功功率变化速率应不超过10%</w:t>
      </w:r>
      <w:r>
        <w:rPr>
          <w:rFonts w:hint="eastAsia"/>
          <w:color w:val="auto"/>
          <w:lang w:val="en-US" w:eastAsia="zh-CN"/>
        </w:rPr>
        <w:t>额定</w:t>
      </w:r>
      <w:r>
        <w:rPr>
          <w:color w:val="auto"/>
          <w:lang w:eastAsia="zh-CN"/>
        </w:rPr>
        <w:t>容量/分钟。</w:t>
      </w:r>
    </w:p>
    <w:p w14:paraId="5AA1DB74">
      <w:pPr>
        <w:pStyle w:val="29"/>
        <w:bidi w:val="0"/>
        <w:rPr>
          <w:color w:val="auto"/>
          <w:lang w:eastAsia="zh-CN"/>
        </w:rPr>
      </w:pPr>
      <w:r>
        <w:rPr>
          <w:rFonts w:hint="eastAsia"/>
          <w:b/>
          <w:bCs/>
          <w:color w:val="auto"/>
          <w:lang w:val="en-US" w:eastAsia="zh-CN"/>
        </w:rPr>
        <w:t>9. 2. 4</w:t>
      </w:r>
      <w:r>
        <w:rPr>
          <w:rFonts w:hint="eastAsia"/>
          <w:b/>
          <w:bCs/>
          <w:color w:val="auto"/>
        </w:rPr>
        <w:t>　</w:t>
      </w:r>
      <w:r>
        <w:rPr>
          <w:color w:val="auto"/>
          <w:lang w:eastAsia="zh-CN"/>
        </w:rPr>
        <w:t>电站的无功配置应满足分层分区和就地平衡的原则，功率因数应能在规定范围内（如超前0.95～滞后0.95）连续可调。应充分利用逆变器的无功调节能力，当不满足系统要求时，应加装集中式无功补偿装置。</w:t>
      </w:r>
    </w:p>
    <w:p w14:paraId="77730FF4">
      <w:pPr>
        <w:pStyle w:val="29"/>
        <w:bidi w:val="0"/>
        <w:rPr>
          <w:color w:val="auto"/>
          <w:lang w:eastAsia="zh-CN"/>
        </w:rPr>
      </w:pPr>
      <w:r>
        <w:rPr>
          <w:rFonts w:hint="eastAsia"/>
          <w:b/>
          <w:bCs/>
          <w:color w:val="auto"/>
          <w:lang w:val="en-US" w:eastAsia="zh-CN"/>
        </w:rPr>
        <w:t>9. 2. 5</w:t>
      </w:r>
      <w:r>
        <w:rPr>
          <w:rFonts w:hint="eastAsia"/>
          <w:b/>
          <w:bCs/>
          <w:color w:val="auto"/>
        </w:rPr>
        <w:t>　</w:t>
      </w:r>
      <w:r>
        <w:rPr>
          <w:color w:val="auto"/>
          <w:lang w:eastAsia="zh-CN"/>
        </w:rPr>
        <w:t>电站应配置电能质量在线监测装置，监测点宜设在并网点。其谐波、电压偏差、电压波动和闪变、三相电压不平衡等指标应满足</w:t>
      </w:r>
      <w:r>
        <w:rPr>
          <w:rFonts w:hint="eastAsia"/>
          <w:color w:val="auto"/>
          <w:lang w:val="en-US" w:eastAsia="zh-CN"/>
        </w:rPr>
        <w:t>现行国家标准</w:t>
      </w:r>
      <w:r>
        <w:rPr>
          <w:color w:val="auto"/>
          <w:lang w:eastAsia="zh-CN"/>
        </w:rPr>
        <w:t>《</w:t>
      </w:r>
      <w:r>
        <w:rPr>
          <w:rFonts w:hint="eastAsia"/>
          <w:color w:val="auto"/>
          <w:lang w:eastAsia="zh-CN"/>
        </w:rPr>
        <w:t>电能质量 公用电网谐波</w:t>
      </w:r>
      <w:r>
        <w:rPr>
          <w:color w:val="auto"/>
          <w:lang w:eastAsia="zh-CN"/>
        </w:rPr>
        <w:t>》GB/T</w:t>
      </w:r>
      <w:r>
        <w:rPr>
          <w:rFonts w:hint="eastAsia"/>
          <w:color w:val="auto"/>
          <w:lang w:val="en-US" w:eastAsia="zh-CN"/>
        </w:rPr>
        <w:t xml:space="preserve"> </w:t>
      </w:r>
      <w:r>
        <w:rPr>
          <w:color w:val="auto"/>
          <w:lang w:eastAsia="zh-CN"/>
        </w:rPr>
        <w:t>14549的要求。</w:t>
      </w:r>
    </w:p>
    <w:p w14:paraId="09E626AE">
      <w:pPr>
        <w:pStyle w:val="29"/>
        <w:bidi w:val="0"/>
        <w:rPr>
          <w:color w:val="auto"/>
          <w:lang w:eastAsia="zh-CN"/>
        </w:rPr>
      </w:pPr>
      <w:r>
        <w:rPr>
          <w:rFonts w:hint="eastAsia"/>
          <w:b/>
          <w:bCs/>
          <w:color w:val="auto"/>
          <w:lang w:val="en-US" w:eastAsia="zh-CN"/>
        </w:rPr>
        <w:t>9. 2. 6</w:t>
      </w:r>
      <w:r>
        <w:rPr>
          <w:rFonts w:hint="eastAsia"/>
          <w:b/>
          <w:bCs/>
          <w:color w:val="auto"/>
        </w:rPr>
        <w:t>　</w:t>
      </w:r>
      <w:r>
        <w:rPr>
          <w:color w:val="auto"/>
          <w:lang w:eastAsia="zh-CN"/>
        </w:rPr>
        <w:t>对于通过35kV及以上电压等级并网的山地光伏电站，必须进行电力系统稳定性计算分析（包括暂态稳定、静态稳定，必要时含动态稳定），验算其接入对系统稳定性的影响，并根据计算结果确定是否需要配置安全自动装置。</w:t>
      </w:r>
    </w:p>
    <w:p w14:paraId="4877F309">
      <w:pPr>
        <w:pStyle w:val="29"/>
        <w:bidi w:val="0"/>
        <w:rPr>
          <w:color w:val="auto"/>
          <w:lang w:eastAsia="zh-CN"/>
        </w:rPr>
      </w:pPr>
      <w:r>
        <w:rPr>
          <w:rFonts w:hint="eastAsia"/>
          <w:b/>
          <w:bCs/>
          <w:color w:val="auto"/>
          <w:lang w:val="en-US" w:eastAsia="zh-CN"/>
        </w:rPr>
        <w:t>9. 2. 7</w:t>
      </w:r>
      <w:r>
        <w:rPr>
          <w:rFonts w:hint="eastAsia"/>
          <w:b/>
          <w:bCs/>
          <w:color w:val="auto"/>
        </w:rPr>
        <w:t>　</w:t>
      </w:r>
      <w:r>
        <w:rPr>
          <w:color w:val="auto"/>
          <w:lang w:eastAsia="zh-CN"/>
        </w:rPr>
        <w:t>电站应配备符合电网调度要求的运动系统、功率预测系统、继电保护及故障信息管理系统、电能量计量系统，以及满足电力监控系统安全防护要求的设备。</w:t>
      </w:r>
    </w:p>
    <w:p w14:paraId="266811CD">
      <w:pPr>
        <w:pStyle w:val="29"/>
        <w:bidi w:val="0"/>
        <w:rPr>
          <w:color w:val="auto"/>
          <w:lang w:eastAsia="zh-CN"/>
        </w:rPr>
      </w:pPr>
      <w:r>
        <w:rPr>
          <w:rFonts w:hint="eastAsia"/>
          <w:b/>
          <w:bCs/>
          <w:color w:val="auto"/>
          <w:lang w:val="en-US" w:eastAsia="zh-CN"/>
        </w:rPr>
        <w:t>9. 2. 8</w:t>
      </w:r>
      <w:r>
        <w:rPr>
          <w:rFonts w:hint="eastAsia"/>
          <w:b/>
          <w:bCs/>
          <w:color w:val="auto"/>
        </w:rPr>
        <w:t>　</w:t>
      </w:r>
      <w:r>
        <w:rPr>
          <w:color w:val="auto"/>
          <w:lang w:eastAsia="zh-CN"/>
        </w:rPr>
        <w:t>电站的继电保护与安全自动装置配置应符合</w:t>
      </w:r>
      <w:r>
        <w:rPr>
          <w:rFonts w:hint="eastAsia"/>
          <w:color w:val="auto"/>
          <w:lang w:val="en-US" w:eastAsia="zh-CN"/>
        </w:rPr>
        <w:t>现行国家标准</w:t>
      </w:r>
      <w:r>
        <w:rPr>
          <w:color w:val="auto"/>
          <w:lang w:eastAsia="zh-CN"/>
        </w:rPr>
        <w:t>《</w:t>
      </w:r>
      <w:r>
        <w:rPr>
          <w:rFonts w:hint="eastAsia"/>
          <w:color w:val="auto"/>
          <w:lang w:eastAsia="zh-CN"/>
        </w:rPr>
        <w:t>继电保护和安全自动装置技术规程</w:t>
      </w:r>
      <w:r>
        <w:rPr>
          <w:color w:val="auto"/>
          <w:lang w:eastAsia="zh-CN"/>
        </w:rPr>
        <w:t>》GB/T</w:t>
      </w:r>
      <w:r>
        <w:rPr>
          <w:rFonts w:hint="eastAsia"/>
          <w:color w:val="auto"/>
          <w:lang w:val="en-US" w:eastAsia="zh-CN"/>
        </w:rPr>
        <w:t xml:space="preserve"> </w:t>
      </w:r>
      <w:r>
        <w:rPr>
          <w:color w:val="auto"/>
          <w:lang w:eastAsia="zh-CN"/>
        </w:rPr>
        <w:t>14285及南方电网相关规范，确保与电网侧保护配合可靠，并应配置独立的防孤岛保护装置。</w:t>
      </w:r>
    </w:p>
    <w:p w14:paraId="090D3B82">
      <w:pPr>
        <w:pStyle w:val="29"/>
        <w:bidi w:val="0"/>
        <w:rPr>
          <w:color w:val="auto"/>
          <w:lang w:eastAsia="zh-CN"/>
        </w:rPr>
      </w:pPr>
      <w:r>
        <w:rPr>
          <w:rFonts w:hint="eastAsia"/>
          <w:b/>
          <w:bCs/>
          <w:color w:val="auto"/>
          <w:lang w:val="en-US" w:eastAsia="zh-CN"/>
        </w:rPr>
        <w:t>9. 2. 9</w:t>
      </w:r>
      <w:r>
        <w:rPr>
          <w:rFonts w:hint="eastAsia"/>
          <w:b/>
          <w:bCs/>
          <w:color w:val="auto"/>
        </w:rPr>
        <w:t>　</w:t>
      </w:r>
      <w:r>
        <w:rPr>
          <w:color w:val="auto"/>
          <w:lang w:eastAsia="zh-CN"/>
        </w:rPr>
        <w:t>系统通信应满足调度自动化、继电保护、安全自动装置、电能量计量等信息传输的要求。110kV及以上电压等级并网的电站，至调度端应具备两路独立的通信通道，其中一路应为光缆通道。</w:t>
      </w:r>
    </w:p>
    <w:p w14:paraId="63FEDF66">
      <w:pPr>
        <w:pStyle w:val="31"/>
        <w:bidi w:val="0"/>
        <w:outlineLvl w:val="1"/>
        <w:rPr>
          <w:color w:val="auto"/>
          <w:lang w:eastAsia="zh-CN"/>
        </w:rPr>
      </w:pPr>
      <w:bookmarkStart w:id="160" w:name="bookmark41"/>
      <w:bookmarkEnd w:id="160"/>
      <w:bookmarkStart w:id="161" w:name="_Toc2468"/>
      <w:bookmarkStart w:id="162" w:name="_Toc21334"/>
      <w:bookmarkStart w:id="163" w:name="_Toc18742"/>
      <w:r>
        <w:rPr>
          <w:rFonts w:hint="eastAsia"/>
          <w:b/>
          <w:bCs/>
          <w:color w:val="auto"/>
          <w:lang w:val="en-US" w:eastAsia="zh-CN"/>
        </w:rPr>
        <w:t>9. 3</w:t>
      </w:r>
      <w:r>
        <w:rPr>
          <w:rFonts w:hint="eastAsia"/>
          <w:color w:val="auto"/>
        </w:rPr>
        <w:t>　</w:t>
      </w:r>
      <w:r>
        <w:rPr>
          <w:rFonts w:hint="eastAsia"/>
          <w:color w:val="auto"/>
          <w:lang w:eastAsia="zh-CN"/>
        </w:rPr>
        <w:t>继电保护</w:t>
      </w:r>
      <w:bookmarkEnd w:id="161"/>
      <w:bookmarkEnd w:id="162"/>
      <w:bookmarkEnd w:id="163"/>
    </w:p>
    <w:p w14:paraId="3DBA3B0D">
      <w:pPr>
        <w:pStyle w:val="29"/>
        <w:bidi w:val="0"/>
        <w:rPr>
          <w:color w:val="auto"/>
          <w:lang w:eastAsia="zh-CN"/>
        </w:rPr>
      </w:pPr>
      <w:r>
        <w:rPr>
          <w:rFonts w:hint="eastAsia"/>
          <w:b/>
          <w:bCs/>
          <w:color w:val="auto"/>
          <w:lang w:val="en-US" w:eastAsia="zh-CN"/>
        </w:rPr>
        <w:t>9. 3. 1</w:t>
      </w:r>
      <w:r>
        <w:rPr>
          <w:rFonts w:hint="eastAsia"/>
          <w:color w:val="auto"/>
        </w:rPr>
        <w:t>　</w:t>
      </w:r>
      <w:r>
        <w:rPr>
          <w:color w:val="auto"/>
          <w:lang w:eastAsia="zh-CN"/>
        </w:rPr>
        <w:t>光伏电站的系统保护、送出线路保护应符合现行国家标准《</w:t>
      </w:r>
      <w:r>
        <w:rPr>
          <w:rFonts w:hint="eastAsia"/>
          <w:color w:val="auto"/>
          <w:lang w:eastAsia="zh-CN"/>
        </w:rPr>
        <w:t>继电保护和安全自动装置技术规程</w:t>
      </w:r>
      <w:r>
        <w:rPr>
          <w:color w:val="auto"/>
          <w:lang w:eastAsia="zh-CN"/>
        </w:rPr>
        <w:t>》GB/T</w:t>
      </w:r>
      <w:r>
        <w:rPr>
          <w:rFonts w:hint="eastAsia"/>
          <w:color w:val="auto"/>
          <w:lang w:val="en-US" w:eastAsia="zh-CN"/>
        </w:rPr>
        <w:t xml:space="preserve"> </w:t>
      </w:r>
      <w:r>
        <w:rPr>
          <w:color w:val="auto"/>
          <w:lang w:eastAsia="zh-CN"/>
        </w:rPr>
        <w:t>14285</w:t>
      </w:r>
      <w:r>
        <w:rPr>
          <w:rFonts w:hint="eastAsia"/>
          <w:color w:val="auto"/>
          <w:lang w:val="en-US" w:eastAsia="zh-CN"/>
        </w:rPr>
        <w:t>、</w:t>
      </w:r>
      <w:r>
        <w:rPr>
          <w:rFonts w:hint="eastAsia"/>
          <w:color w:val="auto"/>
          <w:lang w:eastAsia="zh-CN"/>
        </w:rPr>
        <w:t>《光伏发电站继电保护技术要求》GB/T</w:t>
      </w:r>
      <w:r>
        <w:rPr>
          <w:rFonts w:hint="eastAsia"/>
          <w:color w:val="auto"/>
          <w:lang w:val="en-US" w:eastAsia="zh-CN"/>
        </w:rPr>
        <w:t xml:space="preserve"> </w:t>
      </w:r>
      <w:r>
        <w:rPr>
          <w:rFonts w:hint="eastAsia"/>
          <w:color w:val="auto"/>
          <w:lang w:eastAsia="zh-CN"/>
        </w:rPr>
        <w:t>32900</w:t>
      </w:r>
      <w:r>
        <w:rPr>
          <w:rFonts w:hint="eastAsia"/>
          <w:strike w:val="0"/>
          <w:dstrike w:val="0"/>
          <w:color w:val="auto"/>
          <w:lang w:eastAsia="zh-CN"/>
        </w:rPr>
        <w:t>和《新能源接入电网继电保护技术规范》Q/CSG1211021</w:t>
      </w:r>
      <w:r>
        <w:rPr>
          <w:color w:val="auto"/>
          <w:lang w:eastAsia="zh-CN"/>
        </w:rPr>
        <w:t>的规定，且应满足可靠性、选择性、灵敏性和速动性的要求。</w:t>
      </w:r>
    </w:p>
    <w:p w14:paraId="05DA42B4">
      <w:pPr>
        <w:pStyle w:val="29"/>
        <w:bidi w:val="0"/>
        <w:rPr>
          <w:color w:val="auto"/>
          <w:lang w:eastAsia="zh-CN"/>
        </w:rPr>
      </w:pPr>
      <w:r>
        <w:rPr>
          <w:rFonts w:hint="eastAsia"/>
          <w:b/>
          <w:bCs/>
          <w:color w:val="auto"/>
          <w:lang w:val="en-US" w:eastAsia="zh-CN"/>
        </w:rPr>
        <w:t>9. 3. 2</w:t>
      </w:r>
      <w:r>
        <w:rPr>
          <w:rFonts w:hint="eastAsia"/>
          <w:color w:val="auto"/>
        </w:rPr>
        <w:t>　</w:t>
      </w:r>
      <w:r>
        <w:rPr>
          <w:color w:val="auto"/>
          <w:lang w:eastAsia="zh-CN"/>
        </w:rPr>
        <w:t>通过35kV及以上电压等级并网，以及通过10kV电压等级与公共电网连接的光伏电站的继电保护装置应符合现行国家标准《</w:t>
      </w:r>
      <w:r>
        <w:rPr>
          <w:rFonts w:hint="eastAsia"/>
          <w:color w:val="auto"/>
          <w:lang w:eastAsia="zh-CN"/>
        </w:rPr>
        <w:t>光伏发电站接入电力系统技术规定</w:t>
      </w:r>
      <w:r>
        <w:rPr>
          <w:color w:val="auto"/>
          <w:lang w:eastAsia="zh-CN"/>
        </w:rPr>
        <w:t>》GB/T</w:t>
      </w:r>
      <w:r>
        <w:rPr>
          <w:rFonts w:hint="eastAsia"/>
          <w:color w:val="auto"/>
          <w:lang w:val="en-US" w:eastAsia="zh-CN"/>
        </w:rPr>
        <w:t xml:space="preserve"> </w:t>
      </w:r>
      <w:r>
        <w:rPr>
          <w:color w:val="auto"/>
          <w:lang w:eastAsia="zh-CN"/>
        </w:rPr>
        <w:t>19964的规定。</w:t>
      </w:r>
    </w:p>
    <w:p w14:paraId="63DF7279">
      <w:pPr>
        <w:pStyle w:val="29"/>
        <w:bidi w:val="0"/>
        <w:rPr>
          <w:color w:val="auto"/>
          <w:lang w:eastAsia="zh-CN"/>
        </w:rPr>
      </w:pPr>
      <w:r>
        <w:rPr>
          <w:rFonts w:hint="eastAsia"/>
          <w:b/>
          <w:bCs/>
          <w:color w:val="auto"/>
          <w:lang w:val="en-US" w:eastAsia="zh-CN"/>
        </w:rPr>
        <w:t>9. 3. 3</w:t>
      </w:r>
      <w:r>
        <w:rPr>
          <w:rFonts w:hint="eastAsia"/>
          <w:color w:val="auto"/>
        </w:rPr>
        <w:t>　</w:t>
      </w:r>
      <w:r>
        <w:rPr>
          <w:color w:val="auto"/>
          <w:lang w:eastAsia="zh-CN"/>
        </w:rPr>
        <w:t>在并网线路同时T接有其他用电负荷情况下，光伏电站防孤岛效应保护动作时间应小于电网侧线路保护重合闸时间。</w:t>
      </w:r>
    </w:p>
    <w:p w14:paraId="4E2F53F0">
      <w:pPr>
        <w:pStyle w:val="29"/>
        <w:bidi w:val="0"/>
        <w:rPr>
          <w:color w:val="auto"/>
          <w:lang w:eastAsia="zh-CN"/>
        </w:rPr>
      </w:pPr>
      <w:r>
        <w:rPr>
          <w:rFonts w:hint="eastAsia"/>
          <w:b/>
          <w:bCs/>
          <w:color w:val="auto"/>
          <w:lang w:val="en-US" w:eastAsia="zh-CN"/>
        </w:rPr>
        <w:t>9. 3. 4</w:t>
      </w:r>
      <w:r>
        <w:rPr>
          <w:rFonts w:hint="eastAsia"/>
          <w:color w:val="auto"/>
        </w:rPr>
        <w:t>　</w:t>
      </w:r>
      <w:r>
        <w:rPr>
          <w:color w:val="auto"/>
          <w:lang w:eastAsia="zh-CN"/>
        </w:rPr>
        <w:t>接入66kV及以上电压等级电网的光伏电站应装设专用故障记录装置。故障记录装置应记录故障前10s到故障后60s的情况，并能够向电力调度部门进行数据传送。</w:t>
      </w:r>
    </w:p>
    <w:p w14:paraId="6B6382EA">
      <w:pPr>
        <w:pStyle w:val="29"/>
        <w:bidi w:val="0"/>
        <w:rPr>
          <w:strike w:val="0"/>
          <w:dstrike w:val="0"/>
          <w:color w:val="auto"/>
          <w:lang w:eastAsia="zh-CN"/>
        </w:rPr>
      </w:pPr>
      <w:r>
        <w:rPr>
          <w:rFonts w:hint="eastAsia"/>
          <w:b/>
          <w:bCs/>
          <w:color w:val="auto"/>
          <w:lang w:val="en-US" w:eastAsia="zh-CN"/>
        </w:rPr>
        <w:t>9. 3. 5</w:t>
      </w:r>
      <w:r>
        <w:rPr>
          <w:rFonts w:hint="eastAsia"/>
          <w:color w:val="auto"/>
        </w:rPr>
        <w:t>　</w:t>
      </w:r>
      <w:r>
        <w:rPr>
          <w:color w:val="auto"/>
          <w:lang w:eastAsia="zh-CN"/>
        </w:rPr>
        <w:t>通过220kV电压等级并网的光伏电站</w:t>
      </w:r>
      <w:r>
        <w:rPr>
          <w:rFonts w:hint="eastAsia"/>
          <w:color w:val="auto"/>
          <w:lang w:eastAsia="zh-CN"/>
        </w:rPr>
        <w:t>应配置双套</w:t>
      </w:r>
      <w:r>
        <w:rPr>
          <w:color w:val="auto"/>
          <w:lang w:eastAsia="zh-CN"/>
        </w:rPr>
        <w:t>稳控装置，其余光伏电站现场条件不允许时，可单套配置</w:t>
      </w:r>
      <w:r>
        <w:rPr>
          <w:rFonts w:hint="eastAsia"/>
          <w:color w:val="auto"/>
          <w:lang w:eastAsia="zh-CN"/>
        </w:rPr>
        <w:t>；</w:t>
      </w:r>
      <w:r>
        <w:rPr>
          <w:color w:val="auto"/>
          <w:lang w:eastAsia="zh-CN"/>
        </w:rPr>
        <w:t>通过110kV及以下电压等级并网</w:t>
      </w:r>
      <w:r>
        <w:rPr>
          <w:rFonts w:hint="eastAsia"/>
          <w:color w:val="auto"/>
          <w:lang w:eastAsia="zh-CN"/>
        </w:rPr>
        <w:t>光伏电</w:t>
      </w:r>
      <w:r>
        <w:rPr>
          <w:color w:val="auto"/>
          <w:lang w:eastAsia="zh-CN"/>
        </w:rPr>
        <w:t>站应根据安全稳定计算结论，按调度机构要求配置稳控装置</w:t>
      </w:r>
      <w:r>
        <w:rPr>
          <w:rFonts w:hint="eastAsia"/>
          <w:color w:val="auto"/>
          <w:lang w:eastAsia="zh-CN"/>
        </w:rPr>
        <w:t>。</w:t>
      </w:r>
      <w:r>
        <w:rPr>
          <w:rFonts w:hint="eastAsia"/>
          <w:strike w:val="0"/>
          <w:dstrike w:val="0"/>
          <w:color w:val="auto"/>
          <w:lang w:eastAsia="zh-CN"/>
        </w:rPr>
        <w:t>光伏电站配置的稳控装置应符合《南方电网稳控执行站装置标准化技术规范》Q/CSG1204040的规定。</w:t>
      </w:r>
    </w:p>
    <w:p w14:paraId="32EE1B2F">
      <w:pPr>
        <w:pStyle w:val="29"/>
        <w:bidi w:val="0"/>
        <w:rPr>
          <w:color w:val="auto"/>
          <w:lang w:eastAsia="zh-CN"/>
        </w:rPr>
      </w:pPr>
      <w:r>
        <w:rPr>
          <w:rFonts w:hint="eastAsia"/>
          <w:b/>
          <w:bCs/>
          <w:color w:val="auto"/>
          <w:lang w:val="en-US" w:eastAsia="zh-CN"/>
        </w:rPr>
        <w:t>9. 3. 6</w:t>
      </w:r>
      <w:r>
        <w:rPr>
          <w:rFonts w:hint="eastAsia"/>
          <w:color w:val="auto"/>
        </w:rPr>
        <w:t>　</w:t>
      </w:r>
      <w:r>
        <w:rPr>
          <w:rFonts w:hint="eastAsia"/>
          <w:color w:val="auto"/>
          <w:lang w:eastAsia="zh-CN"/>
        </w:rPr>
        <w:t>光伏电站</w:t>
      </w:r>
      <w:r>
        <w:rPr>
          <w:color w:val="auto"/>
          <w:lang w:eastAsia="zh-CN"/>
        </w:rPr>
        <w:t>应配备继电保护信息系统子站（或智能录波器），并配备至电网调度机构的数据传输通道，送出线路、主变压器、母线、汇集线路、无功补偿设备、站用接地变的继电保护及故障录波装置等应接入继电保护信息系统子站（或智能录波器）。220kV及以上场站的继电保护故障信息系统子站（或智能录波器）应按双机配置</w:t>
      </w:r>
      <w:r>
        <w:rPr>
          <w:rFonts w:hint="eastAsia"/>
          <w:color w:val="auto"/>
          <w:lang w:eastAsia="zh-CN"/>
        </w:rPr>
        <w:t>。</w:t>
      </w:r>
    </w:p>
    <w:p w14:paraId="4323F0DC">
      <w:pPr>
        <w:pStyle w:val="31"/>
        <w:bidi w:val="0"/>
        <w:outlineLvl w:val="1"/>
        <w:rPr>
          <w:color w:val="auto"/>
          <w:lang w:eastAsia="zh-CN"/>
        </w:rPr>
      </w:pPr>
      <w:bookmarkStart w:id="164" w:name="bookmark171"/>
      <w:bookmarkEnd w:id="164"/>
      <w:bookmarkStart w:id="165" w:name="bookmark42"/>
      <w:bookmarkEnd w:id="165"/>
      <w:bookmarkStart w:id="166" w:name="_Toc5471"/>
      <w:bookmarkStart w:id="167" w:name="_Toc18324"/>
      <w:bookmarkStart w:id="168" w:name="_Toc29047"/>
      <w:r>
        <w:rPr>
          <w:rFonts w:hint="eastAsia"/>
          <w:b/>
          <w:bCs/>
          <w:color w:val="auto"/>
          <w:lang w:val="en-US" w:eastAsia="zh-CN"/>
        </w:rPr>
        <w:t>9. 4</w:t>
      </w:r>
      <w:r>
        <w:rPr>
          <w:rFonts w:hint="eastAsia"/>
          <w:color w:val="auto"/>
        </w:rPr>
        <w:t>　</w:t>
      </w:r>
      <w:r>
        <w:rPr>
          <w:rFonts w:hint="eastAsia"/>
          <w:color w:val="auto"/>
          <w:lang w:eastAsia="zh-CN"/>
        </w:rPr>
        <w:t>自动化</w:t>
      </w:r>
      <w:bookmarkEnd w:id="166"/>
      <w:bookmarkEnd w:id="167"/>
      <w:bookmarkEnd w:id="168"/>
    </w:p>
    <w:p w14:paraId="0BEEB36F">
      <w:pPr>
        <w:pStyle w:val="29"/>
        <w:bidi w:val="0"/>
        <w:rPr>
          <w:color w:val="auto"/>
          <w:lang w:eastAsia="zh-CN"/>
        </w:rPr>
      </w:pPr>
      <w:r>
        <w:rPr>
          <w:rFonts w:hint="eastAsia"/>
          <w:b/>
          <w:bCs/>
          <w:color w:val="auto"/>
          <w:lang w:val="en-US" w:eastAsia="zh-CN"/>
        </w:rPr>
        <w:t>9. 4. 1</w:t>
      </w:r>
      <w:r>
        <w:rPr>
          <w:rFonts w:hint="eastAsia"/>
          <w:b/>
          <w:bCs/>
          <w:color w:val="auto"/>
        </w:rPr>
        <w:t>　</w:t>
      </w:r>
      <w:r>
        <w:rPr>
          <w:rFonts w:hint="eastAsia"/>
          <w:color w:val="auto"/>
          <w:lang w:val="en-US" w:eastAsia="zh-CN"/>
        </w:rPr>
        <w:t>自动化设备配置及远动信息</w:t>
      </w:r>
      <w:r>
        <w:rPr>
          <w:rFonts w:hint="eastAsia"/>
          <w:color w:val="auto"/>
          <w:lang w:eastAsia="zh-CN"/>
        </w:rPr>
        <w:t>除应符合</w:t>
      </w:r>
      <w:r>
        <w:rPr>
          <w:rFonts w:hint="eastAsia"/>
          <w:color w:val="auto"/>
          <w:lang w:val="en-US" w:eastAsia="zh-CN"/>
        </w:rPr>
        <w:t>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val="en-US" w:eastAsia="zh-CN"/>
        </w:rPr>
        <w:t>的</w:t>
      </w:r>
      <w:r>
        <w:rPr>
          <w:rFonts w:hint="eastAsia"/>
          <w:color w:val="auto"/>
          <w:lang w:eastAsia="zh-CN"/>
        </w:rPr>
        <w:t>规定外，还应符合电网相关技术规范</w:t>
      </w:r>
      <w:r>
        <w:rPr>
          <w:rFonts w:hint="eastAsia"/>
          <w:color w:val="auto"/>
          <w:lang w:val="en-US" w:eastAsia="zh-CN"/>
        </w:rPr>
        <w:t>和</w:t>
      </w:r>
      <w:r>
        <w:rPr>
          <w:rFonts w:hint="eastAsia"/>
          <w:color w:val="auto"/>
          <w:lang w:eastAsia="zh-CN"/>
        </w:rPr>
        <w:t>管理</w:t>
      </w:r>
      <w:r>
        <w:rPr>
          <w:rFonts w:hint="eastAsia"/>
          <w:color w:val="auto"/>
          <w:lang w:val="en-US" w:eastAsia="zh-CN"/>
        </w:rPr>
        <w:t>要求。</w:t>
      </w:r>
    </w:p>
    <w:p w14:paraId="5F7AA1FD">
      <w:pPr>
        <w:pStyle w:val="31"/>
        <w:bidi w:val="0"/>
        <w:outlineLvl w:val="1"/>
        <w:rPr>
          <w:color w:val="auto"/>
        </w:rPr>
      </w:pPr>
      <w:bookmarkStart w:id="169" w:name="bookmark43"/>
      <w:bookmarkEnd w:id="169"/>
      <w:bookmarkStart w:id="170" w:name="_Toc7868"/>
      <w:bookmarkStart w:id="171" w:name="_Toc19082"/>
      <w:bookmarkStart w:id="172" w:name="_Toc12726"/>
      <w:r>
        <w:rPr>
          <w:rFonts w:hint="eastAsia"/>
          <w:b/>
          <w:bCs/>
          <w:color w:val="auto"/>
          <w:lang w:val="en-US" w:eastAsia="zh-CN"/>
        </w:rPr>
        <w:t>9. 5</w:t>
      </w:r>
      <w:r>
        <w:rPr>
          <w:rFonts w:hint="eastAsia"/>
          <w:color w:val="auto"/>
        </w:rPr>
        <w:t>　</w:t>
      </w:r>
      <w:r>
        <w:rPr>
          <w:rFonts w:hint="eastAsia"/>
          <w:color w:val="auto"/>
          <w:lang w:eastAsia="zh-CN"/>
        </w:rPr>
        <w:t>通</w:t>
      </w:r>
      <w:r>
        <w:rPr>
          <w:rFonts w:hint="eastAsia"/>
          <w:color w:val="auto"/>
          <w:sz w:val="32"/>
          <w:szCs w:val="36"/>
          <w:lang w:val="en-US" w:eastAsia="zh-CN"/>
        </w:rPr>
        <w:t xml:space="preserve">    </w:t>
      </w:r>
      <w:r>
        <w:rPr>
          <w:rFonts w:hint="eastAsia"/>
          <w:color w:val="auto"/>
          <w:lang w:eastAsia="zh-CN"/>
        </w:rPr>
        <w:t>信</w:t>
      </w:r>
      <w:bookmarkEnd w:id="170"/>
      <w:bookmarkEnd w:id="171"/>
      <w:bookmarkEnd w:id="172"/>
    </w:p>
    <w:p w14:paraId="2C0C5901">
      <w:pPr>
        <w:pStyle w:val="29"/>
        <w:bidi w:val="0"/>
        <w:rPr>
          <w:color w:val="auto"/>
          <w:lang w:eastAsia="zh-CN"/>
        </w:rPr>
      </w:pPr>
      <w:r>
        <w:rPr>
          <w:rFonts w:hint="eastAsia"/>
          <w:b/>
          <w:bCs/>
          <w:color w:val="auto"/>
          <w:lang w:val="en-US" w:eastAsia="zh-CN"/>
        </w:rPr>
        <w:t>9. 5. 1</w:t>
      </w:r>
      <w:r>
        <w:rPr>
          <w:rFonts w:hint="eastAsia"/>
          <w:b/>
          <w:bCs/>
          <w:color w:val="auto"/>
        </w:rPr>
        <w:t>　</w:t>
      </w:r>
      <w:r>
        <w:rPr>
          <w:rFonts w:hint="eastAsia"/>
          <w:color w:val="auto"/>
          <w:lang w:eastAsia="zh-CN"/>
        </w:rPr>
        <w:t>站内通信与系统通信设计除应符合</w:t>
      </w:r>
      <w:r>
        <w:rPr>
          <w:rFonts w:hint="eastAsia"/>
          <w:color w:val="auto"/>
          <w:lang w:val="en-US" w:eastAsia="zh-CN"/>
        </w:rPr>
        <w:t>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val="en-US" w:eastAsia="zh-CN"/>
        </w:rPr>
        <w:t>的</w:t>
      </w:r>
      <w:r>
        <w:rPr>
          <w:rFonts w:hint="eastAsia"/>
          <w:color w:val="auto"/>
          <w:lang w:eastAsia="zh-CN"/>
        </w:rPr>
        <w:t>规定外，还应符合电网相关技术规范</w:t>
      </w:r>
      <w:r>
        <w:rPr>
          <w:rFonts w:hint="eastAsia"/>
          <w:color w:val="auto"/>
          <w:lang w:val="en-US" w:eastAsia="zh-CN"/>
        </w:rPr>
        <w:t>和</w:t>
      </w:r>
      <w:r>
        <w:rPr>
          <w:rFonts w:hint="eastAsia"/>
          <w:color w:val="auto"/>
          <w:lang w:eastAsia="zh-CN"/>
        </w:rPr>
        <w:t>管理</w:t>
      </w:r>
      <w:r>
        <w:rPr>
          <w:rFonts w:hint="eastAsia"/>
          <w:color w:val="auto"/>
          <w:lang w:val="en-US" w:eastAsia="zh-CN"/>
        </w:rPr>
        <w:t>要求。</w:t>
      </w:r>
    </w:p>
    <w:p w14:paraId="71769366">
      <w:pPr>
        <w:pStyle w:val="31"/>
        <w:bidi w:val="0"/>
        <w:outlineLvl w:val="1"/>
        <w:rPr>
          <w:color w:val="auto"/>
          <w:lang w:eastAsia="zh-CN"/>
        </w:rPr>
      </w:pPr>
      <w:bookmarkStart w:id="173" w:name="bookmark44"/>
      <w:bookmarkEnd w:id="173"/>
      <w:bookmarkStart w:id="174" w:name="_Toc11013"/>
      <w:bookmarkStart w:id="175" w:name="_Toc19566"/>
      <w:bookmarkStart w:id="176" w:name="_Toc15459"/>
      <w:r>
        <w:rPr>
          <w:rFonts w:hint="eastAsia"/>
          <w:b/>
          <w:bCs/>
          <w:color w:val="auto"/>
          <w:lang w:val="en-US" w:eastAsia="zh-CN"/>
        </w:rPr>
        <w:t>9. 6</w:t>
      </w:r>
      <w:r>
        <w:rPr>
          <w:rFonts w:hint="eastAsia"/>
          <w:color w:val="auto"/>
        </w:rPr>
        <w:t>　</w:t>
      </w:r>
      <w:r>
        <w:rPr>
          <w:rFonts w:hint="eastAsia"/>
          <w:color w:val="auto"/>
          <w:lang w:eastAsia="zh-CN"/>
        </w:rPr>
        <w:t>电能计量</w:t>
      </w:r>
      <w:bookmarkEnd w:id="174"/>
      <w:bookmarkEnd w:id="175"/>
      <w:bookmarkEnd w:id="176"/>
    </w:p>
    <w:p w14:paraId="0ABA41DA">
      <w:pPr>
        <w:pStyle w:val="29"/>
        <w:bidi w:val="0"/>
        <w:rPr>
          <w:color w:val="auto"/>
          <w:lang w:eastAsia="zh-CN"/>
        </w:rPr>
      </w:pPr>
      <w:r>
        <w:rPr>
          <w:rFonts w:hint="eastAsia"/>
          <w:b/>
          <w:bCs/>
          <w:color w:val="auto"/>
          <w:lang w:val="en-US" w:eastAsia="zh-CN"/>
        </w:rPr>
        <w:t>9. 6. 2</w:t>
      </w:r>
      <w:r>
        <w:rPr>
          <w:rFonts w:hint="eastAsia"/>
          <w:b/>
          <w:bCs/>
          <w:color w:val="auto"/>
        </w:rPr>
        <w:t>　</w:t>
      </w:r>
      <w:r>
        <w:rPr>
          <w:rFonts w:hint="eastAsia"/>
          <w:color w:val="auto"/>
          <w:lang w:val="en-US" w:eastAsia="zh-CN"/>
        </w:rPr>
        <w:t>光伏</w:t>
      </w:r>
      <w:r>
        <w:rPr>
          <w:rFonts w:hint="eastAsia"/>
          <w:color w:val="auto"/>
          <w:lang w:eastAsia="zh-CN"/>
        </w:rPr>
        <w:t>电站电能计量除应</w:t>
      </w:r>
      <w:r>
        <w:rPr>
          <w:rFonts w:hint="eastAsia"/>
          <w:color w:val="auto"/>
          <w:lang w:val="en-US" w:eastAsia="zh-CN"/>
        </w:rPr>
        <w:t>符合现行国家标准《光伏发电站设计标准》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val="en-US" w:eastAsia="zh-CN"/>
        </w:rPr>
        <w:t>的</w:t>
      </w:r>
      <w:r>
        <w:rPr>
          <w:rFonts w:hint="eastAsia"/>
          <w:color w:val="auto"/>
          <w:lang w:eastAsia="zh-CN"/>
        </w:rPr>
        <w:t>规定外，还应符合电网相关技术规范</w:t>
      </w:r>
      <w:r>
        <w:rPr>
          <w:rFonts w:hint="eastAsia"/>
          <w:color w:val="auto"/>
          <w:lang w:val="en-US" w:eastAsia="zh-CN"/>
        </w:rPr>
        <w:t>和</w:t>
      </w:r>
      <w:r>
        <w:rPr>
          <w:rFonts w:hint="eastAsia"/>
          <w:color w:val="auto"/>
          <w:lang w:eastAsia="zh-CN"/>
        </w:rPr>
        <w:t>管理</w:t>
      </w:r>
      <w:r>
        <w:rPr>
          <w:rFonts w:hint="eastAsia"/>
          <w:color w:val="auto"/>
          <w:lang w:val="en-US" w:eastAsia="zh-CN"/>
        </w:rPr>
        <w:t>要求。</w:t>
      </w:r>
    </w:p>
    <w:p w14:paraId="36B77EA3">
      <w:pPr>
        <w:pageBreakBefore w:val="0"/>
        <w:widowControl w:val="0"/>
        <w:topLinePunct w:val="0"/>
        <w:bidi w:val="0"/>
        <w:jc w:val="both"/>
        <w:rPr>
          <w:color w:val="auto"/>
          <w:highlight w:val="none"/>
          <w:lang w:eastAsia="zh-CN"/>
        </w:rPr>
      </w:pPr>
      <w:r>
        <w:rPr>
          <w:rFonts w:hint="eastAsia"/>
          <w:color w:val="auto"/>
          <w:highlight w:val="none"/>
          <w:lang w:eastAsia="zh-CN"/>
        </w:rPr>
        <w:br w:type="page"/>
      </w:r>
    </w:p>
    <w:p w14:paraId="60524AAA">
      <w:pPr>
        <w:pStyle w:val="30"/>
        <w:bidi w:val="0"/>
        <w:outlineLvl w:val="0"/>
        <w:rPr>
          <w:color w:val="auto"/>
          <w:lang w:eastAsia="zh-CN"/>
        </w:rPr>
      </w:pPr>
      <w:bookmarkStart w:id="177" w:name="bookmark173"/>
      <w:bookmarkEnd w:id="177"/>
      <w:bookmarkStart w:id="178" w:name="bookmark45"/>
      <w:bookmarkEnd w:id="178"/>
      <w:bookmarkStart w:id="179" w:name="_Toc26937"/>
      <w:bookmarkStart w:id="180" w:name="_Toc27656"/>
      <w:r>
        <w:rPr>
          <w:rFonts w:hint="eastAsia"/>
          <w:color w:val="auto"/>
          <w:lang w:val="en-US" w:eastAsia="zh-CN"/>
        </w:rPr>
        <w:t xml:space="preserve"> </w:t>
      </w:r>
      <w:bookmarkStart w:id="181" w:name="_Toc28002"/>
      <w:bookmarkStart w:id="182" w:name="_Toc766"/>
      <w:r>
        <w:rPr>
          <w:rFonts w:hint="eastAsia"/>
          <w:b/>
          <w:bCs/>
          <w:color w:val="auto"/>
          <w:lang w:val="en-US" w:eastAsia="zh-CN"/>
        </w:rPr>
        <w:t>10</w:t>
      </w:r>
      <w:r>
        <w:rPr>
          <w:rFonts w:hint="eastAsia"/>
          <w:color w:val="auto"/>
        </w:rPr>
        <w:t>　</w:t>
      </w:r>
      <w:r>
        <w:rPr>
          <w:rFonts w:hint="eastAsia"/>
          <w:color w:val="auto"/>
          <w:lang w:eastAsia="zh-CN"/>
        </w:rPr>
        <w:t>建筑与结构</w:t>
      </w:r>
      <w:bookmarkEnd w:id="179"/>
      <w:bookmarkEnd w:id="180"/>
      <w:bookmarkEnd w:id="181"/>
      <w:bookmarkEnd w:id="182"/>
    </w:p>
    <w:p w14:paraId="488A2A85">
      <w:pPr>
        <w:pStyle w:val="31"/>
        <w:bidi w:val="0"/>
        <w:outlineLvl w:val="1"/>
        <w:rPr>
          <w:color w:val="auto"/>
          <w:lang w:eastAsia="zh-CN"/>
        </w:rPr>
      </w:pPr>
      <w:bookmarkStart w:id="183" w:name="bookmark47"/>
      <w:bookmarkEnd w:id="183"/>
      <w:bookmarkStart w:id="184" w:name="bookmark46"/>
      <w:bookmarkEnd w:id="184"/>
      <w:bookmarkStart w:id="185" w:name="_Toc3227"/>
      <w:bookmarkStart w:id="186" w:name="_Toc17947"/>
      <w:bookmarkStart w:id="187" w:name="_Toc29783"/>
      <w:r>
        <w:rPr>
          <w:rFonts w:hint="eastAsia"/>
          <w:b/>
          <w:bCs/>
          <w:color w:val="auto"/>
          <w:lang w:val="en-US" w:eastAsia="zh-CN"/>
        </w:rPr>
        <w:t>10. 1</w:t>
      </w:r>
      <w:r>
        <w:rPr>
          <w:rFonts w:hint="eastAsia"/>
          <w:color w:val="auto"/>
        </w:rPr>
        <w:t>　</w:t>
      </w:r>
      <w:r>
        <w:rPr>
          <w:rFonts w:hint="eastAsia"/>
          <w:color w:val="auto"/>
          <w:lang w:eastAsia="zh-CN"/>
        </w:rPr>
        <w:t>建</w:t>
      </w:r>
      <w:r>
        <w:rPr>
          <w:rFonts w:hint="eastAsia"/>
          <w:color w:val="auto"/>
          <w:sz w:val="32"/>
          <w:szCs w:val="36"/>
          <w:lang w:val="en-US" w:eastAsia="zh-CN"/>
        </w:rPr>
        <w:t xml:space="preserve">    </w:t>
      </w:r>
      <w:r>
        <w:rPr>
          <w:rFonts w:hint="eastAsia"/>
          <w:color w:val="auto"/>
          <w:lang w:eastAsia="zh-CN"/>
        </w:rPr>
        <w:t>筑</w:t>
      </w:r>
      <w:bookmarkEnd w:id="185"/>
      <w:bookmarkEnd w:id="186"/>
      <w:bookmarkEnd w:id="187"/>
    </w:p>
    <w:p w14:paraId="0B749652">
      <w:pPr>
        <w:pStyle w:val="29"/>
        <w:bidi w:val="0"/>
        <w:rPr>
          <w:color w:val="auto"/>
          <w:lang w:eastAsia="zh-CN"/>
        </w:rPr>
      </w:pPr>
      <w:r>
        <w:rPr>
          <w:rFonts w:hint="eastAsia"/>
          <w:b/>
          <w:bCs/>
          <w:color w:val="auto"/>
          <w:lang w:val="en-US" w:eastAsia="zh-CN"/>
        </w:rPr>
        <w:t>10. 1. 1</w:t>
      </w:r>
      <w:r>
        <w:rPr>
          <w:rFonts w:hint="eastAsia"/>
          <w:color w:val="auto"/>
        </w:rPr>
        <w:t>　</w:t>
      </w:r>
      <w:r>
        <w:rPr>
          <w:color w:val="auto"/>
          <w:lang w:eastAsia="zh-CN"/>
        </w:rPr>
        <w:t>建筑设计</w:t>
      </w:r>
      <w:r>
        <w:rPr>
          <w:rFonts w:hint="eastAsia"/>
          <w:color w:val="auto"/>
          <w:lang w:eastAsia="zh-CN"/>
        </w:rPr>
        <w:t>应符合</w:t>
      </w:r>
      <w:r>
        <w:rPr>
          <w:rFonts w:hint="eastAsia"/>
          <w:color w:val="auto"/>
          <w:lang w:val="en-US" w:eastAsia="zh-CN"/>
        </w:rPr>
        <w:t>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val="en-US" w:eastAsia="zh-CN"/>
        </w:rPr>
        <w:t>的</w:t>
      </w:r>
      <w:r>
        <w:rPr>
          <w:rFonts w:hint="eastAsia"/>
          <w:color w:val="auto"/>
          <w:lang w:eastAsia="zh-CN"/>
        </w:rPr>
        <w:t>规定。</w:t>
      </w:r>
    </w:p>
    <w:p w14:paraId="7D93E8B0">
      <w:pPr>
        <w:pStyle w:val="29"/>
        <w:bidi w:val="0"/>
        <w:rPr>
          <w:color w:val="auto"/>
          <w:lang w:eastAsia="zh-CN"/>
        </w:rPr>
      </w:pPr>
      <w:r>
        <w:rPr>
          <w:rFonts w:hint="eastAsia"/>
          <w:b/>
          <w:bCs/>
          <w:color w:val="auto"/>
          <w:lang w:val="en-US" w:eastAsia="zh-CN"/>
        </w:rPr>
        <w:t>10. 1. 2</w:t>
      </w:r>
      <w:r>
        <w:rPr>
          <w:rFonts w:hint="eastAsia"/>
          <w:color w:val="auto"/>
        </w:rPr>
        <w:t>　</w:t>
      </w:r>
      <w:r>
        <w:rPr>
          <w:color w:val="auto"/>
          <w:lang w:eastAsia="zh-CN"/>
        </w:rPr>
        <w:t>建筑构造及材料选型</w:t>
      </w:r>
      <w:r>
        <w:rPr>
          <w:rFonts w:hint="eastAsia"/>
          <w:color w:val="auto"/>
          <w:lang w:val="en-US" w:eastAsia="zh-CN"/>
        </w:rPr>
        <w:t>尚</w:t>
      </w:r>
      <w:r>
        <w:rPr>
          <w:color w:val="auto"/>
          <w:lang w:eastAsia="zh-CN"/>
        </w:rPr>
        <w:t>应</w:t>
      </w:r>
      <w:r>
        <w:rPr>
          <w:rFonts w:hint="eastAsia"/>
          <w:color w:val="auto"/>
          <w:lang w:eastAsia="zh-CN"/>
        </w:rPr>
        <w:t>考虑</w:t>
      </w:r>
      <w:r>
        <w:rPr>
          <w:color w:val="auto"/>
          <w:lang w:eastAsia="zh-CN"/>
        </w:rPr>
        <w:t>地形起伏与海拔变化的影响</w:t>
      </w:r>
      <w:r>
        <w:rPr>
          <w:rFonts w:hint="eastAsia"/>
          <w:color w:val="auto"/>
          <w:lang w:eastAsia="zh-CN"/>
        </w:rPr>
        <w:t>。</w:t>
      </w:r>
    </w:p>
    <w:p w14:paraId="4223C0A6">
      <w:pPr>
        <w:pStyle w:val="31"/>
        <w:bidi w:val="0"/>
        <w:outlineLvl w:val="1"/>
        <w:rPr>
          <w:color w:val="auto"/>
          <w:highlight w:val="none"/>
          <w:lang w:eastAsia="zh-CN"/>
        </w:rPr>
      </w:pPr>
      <w:bookmarkStart w:id="188" w:name="bookmark49"/>
      <w:bookmarkEnd w:id="188"/>
      <w:bookmarkStart w:id="189" w:name="_Toc30115"/>
      <w:bookmarkStart w:id="190" w:name="_Toc111"/>
      <w:bookmarkStart w:id="191" w:name="_Toc7283"/>
      <w:r>
        <w:rPr>
          <w:rFonts w:hint="eastAsia"/>
          <w:b/>
          <w:bCs/>
          <w:color w:val="auto"/>
          <w:lang w:val="en-US" w:eastAsia="zh-CN"/>
        </w:rPr>
        <w:t>10. 2</w:t>
      </w:r>
      <w:r>
        <w:rPr>
          <w:rFonts w:hint="eastAsia"/>
          <w:color w:val="auto"/>
        </w:rPr>
        <w:t>　</w:t>
      </w:r>
      <w:r>
        <w:rPr>
          <w:rFonts w:hint="eastAsia"/>
          <w:color w:val="auto"/>
          <w:highlight w:val="none"/>
          <w:lang w:eastAsia="zh-CN"/>
        </w:rPr>
        <w:t>结</w:t>
      </w:r>
      <w:r>
        <w:rPr>
          <w:rFonts w:hint="eastAsia"/>
          <w:color w:val="auto"/>
          <w:sz w:val="32"/>
          <w:szCs w:val="36"/>
          <w:lang w:val="en-US" w:eastAsia="zh-CN"/>
        </w:rPr>
        <w:t xml:space="preserve">    </w:t>
      </w:r>
      <w:r>
        <w:rPr>
          <w:rFonts w:hint="eastAsia"/>
          <w:color w:val="auto"/>
          <w:highlight w:val="none"/>
          <w:lang w:eastAsia="zh-CN"/>
        </w:rPr>
        <w:t>构</w:t>
      </w:r>
      <w:bookmarkEnd w:id="189"/>
      <w:bookmarkEnd w:id="190"/>
      <w:bookmarkEnd w:id="191"/>
    </w:p>
    <w:p w14:paraId="511A5893">
      <w:pPr>
        <w:pStyle w:val="29"/>
        <w:bidi w:val="0"/>
        <w:rPr>
          <w:color w:val="auto"/>
          <w:lang w:eastAsia="zh-CN"/>
        </w:rPr>
      </w:pPr>
      <w:r>
        <w:rPr>
          <w:rFonts w:hint="eastAsia"/>
          <w:b/>
          <w:bCs/>
          <w:color w:val="auto"/>
          <w:lang w:val="en-US" w:eastAsia="zh-CN"/>
        </w:rPr>
        <w:t>10. 2. 1</w:t>
      </w:r>
      <w:r>
        <w:rPr>
          <w:rFonts w:hint="eastAsia"/>
          <w:color w:val="auto"/>
        </w:rPr>
        <w:t>　</w:t>
      </w:r>
      <w:r>
        <w:rPr>
          <w:rFonts w:hint="eastAsia"/>
          <w:color w:val="auto"/>
          <w:lang w:eastAsia="zh-CN"/>
        </w:rPr>
        <w:t>结构</w:t>
      </w:r>
      <w:r>
        <w:rPr>
          <w:color w:val="auto"/>
          <w:lang w:eastAsia="zh-CN"/>
        </w:rPr>
        <w:t>设计</w:t>
      </w:r>
      <w:r>
        <w:rPr>
          <w:rFonts w:hint="eastAsia"/>
          <w:color w:val="auto"/>
          <w:lang w:eastAsia="zh-CN"/>
        </w:rPr>
        <w:t>应符合</w:t>
      </w:r>
      <w:r>
        <w:rPr>
          <w:rFonts w:hint="eastAsia"/>
          <w:color w:val="auto"/>
          <w:lang w:val="en-US" w:eastAsia="zh-CN"/>
        </w:rPr>
        <w:t>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val="en-US" w:eastAsia="zh-CN"/>
        </w:rPr>
        <w:t>和现行行业标准《山地建筑结构设计标准》</w:t>
      </w:r>
      <w:r>
        <w:rPr>
          <w:rFonts w:hint="eastAsia"/>
          <w:color w:val="auto"/>
          <w:lang w:eastAsia="zh-CN"/>
        </w:rPr>
        <w:t>JGJ/T 472规定。</w:t>
      </w:r>
    </w:p>
    <w:p w14:paraId="5AD25924">
      <w:pPr>
        <w:pStyle w:val="3"/>
        <w:rPr>
          <w:rFonts w:hint="eastAsia"/>
          <w:color w:val="auto"/>
          <w:highlight w:val="none"/>
          <w:lang w:eastAsia="zh-CN"/>
        </w:rPr>
      </w:pPr>
    </w:p>
    <w:p w14:paraId="6DA52419">
      <w:pPr>
        <w:rPr>
          <w:rFonts w:hint="eastAsia"/>
          <w:color w:val="auto"/>
          <w:highlight w:val="none"/>
          <w:lang w:eastAsia="zh-CN"/>
        </w:rPr>
      </w:pPr>
    </w:p>
    <w:p w14:paraId="491A9487">
      <w:pPr>
        <w:rPr>
          <w:rFonts w:hint="eastAsia"/>
          <w:color w:val="auto"/>
          <w:highlight w:val="none"/>
          <w:lang w:eastAsia="zh-CN"/>
        </w:rPr>
      </w:pPr>
    </w:p>
    <w:p w14:paraId="495BD28D">
      <w:pPr>
        <w:rPr>
          <w:rFonts w:hint="eastAsia"/>
          <w:color w:val="auto"/>
          <w:highlight w:val="none"/>
          <w:lang w:eastAsia="zh-CN"/>
        </w:rPr>
      </w:pPr>
    </w:p>
    <w:p w14:paraId="0D674234">
      <w:pPr>
        <w:rPr>
          <w:rFonts w:hint="eastAsia"/>
          <w:color w:val="auto"/>
          <w:highlight w:val="none"/>
          <w:lang w:eastAsia="zh-CN"/>
        </w:rPr>
      </w:pPr>
    </w:p>
    <w:p w14:paraId="71D120B4">
      <w:pPr>
        <w:rPr>
          <w:rFonts w:hint="eastAsia"/>
          <w:color w:val="auto"/>
          <w:highlight w:val="none"/>
          <w:lang w:eastAsia="zh-CN"/>
        </w:rPr>
      </w:pPr>
    </w:p>
    <w:p w14:paraId="6532F411">
      <w:pPr>
        <w:rPr>
          <w:rFonts w:hint="eastAsia"/>
          <w:color w:val="auto"/>
          <w:highlight w:val="none"/>
          <w:lang w:eastAsia="zh-CN"/>
        </w:rPr>
      </w:pPr>
    </w:p>
    <w:p w14:paraId="039F080C">
      <w:pPr>
        <w:rPr>
          <w:rFonts w:hint="eastAsia"/>
          <w:color w:val="auto"/>
          <w:highlight w:val="none"/>
          <w:lang w:eastAsia="zh-CN"/>
        </w:rPr>
      </w:pPr>
    </w:p>
    <w:p w14:paraId="278B3DB0">
      <w:pPr>
        <w:rPr>
          <w:rFonts w:hint="eastAsia"/>
          <w:color w:val="auto"/>
          <w:highlight w:val="none"/>
          <w:lang w:eastAsia="zh-CN"/>
        </w:rPr>
      </w:pPr>
    </w:p>
    <w:p w14:paraId="0482D148">
      <w:pPr>
        <w:rPr>
          <w:rFonts w:hint="eastAsia"/>
          <w:color w:val="auto"/>
          <w:highlight w:val="none"/>
          <w:lang w:eastAsia="zh-CN"/>
        </w:rPr>
      </w:pPr>
    </w:p>
    <w:p w14:paraId="028E6BFC">
      <w:pPr>
        <w:rPr>
          <w:rFonts w:hint="eastAsia"/>
          <w:color w:val="auto"/>
          <w:highlight w:val="none"/>
          <w:lang w:eastAsia="zh-CN"/>
        </w:rPr>
      </w:pPr>
    </w:p>
    <w:p w14:paraId="497CF375">
      <w:pPr>
        <w:rPr>
          <w:rFonts w:hint="eastAsia"/>
          <w:color w:val="auto"/>
          <w:highlight w:val="none"/>
          <w:lang w:eastAsia="zh-CN"/>
        </w:rPr>
      </w:pPr>
    </w:p>
    <w:p w14:paraId="466CAE25">
      <w:pPr>
        <w:rPr>
          <w:rFonts w:hint="eastAsia"/>
          <w:color w:val="auto"/>
          <w:highlight w:val="none"/>
          <w:lang w:eastAsia="zh-CN"/>
        </w:rPr>
      </w:pPr>
    </w:p>
    <w:p w14:paraId="550AF42D">
      <w:pPr>
        <w:rPr>
          <w:rFonts w:hint="eastAsia"/>
          <w:color w:val="auto"/>
          <w:highlight w:val="none"/>
          <w:lang w:eastAsia="zh-CN"/>
        </w:rPr>
      </w:pPr>
    </w:p>
    <w:p w14:paraId="30038D75">
      <w:pPr>
        <w:rPr>
          <w:rFonts w:hint="eastAsia"/>
          <w:color w:val="auto"/>
          <w:highlight w:val="none"/>
          <w:lang w:eastAsia="zh-CN"/>
        </w:rPr>
      </w:pPr>
    </w:p>
    <w:p w14:paraId="3CCE3CEA">
      <w:pPr>
        <w:pStyle w:val="30"/>
        <w:bidi w:val="0"/>
        <w:outlineLvl w:val="0"/>
        <w:rPr>
          <w:color w:val="auto"/>
          <w:lang w:eastAsia="zh-CN"/>
        </w:rPr>
      </w:pPr>
      <w:bookmarkStart w:id="192" w:name="bookmark50"/>
      <w:bookmarkEnd w:id="192"/>
      <w:bookmarkStart w:id="193" w:name="bookmark176"/>
      <w:bookmarkEnd w:id="193"/>
      <w:bookmarkStart w:id="194" w:name="_Toc26940"/>
      <w:bookmarkStart w:id="195" w:name="_Toc19091"/>
      <w:r>
        <w:rPr>
          <w:rFonts w:hint="eastAsia"/>
          <w:color w:val="auto"/>
          <w:lang w:val="en-US" w:eastAsia="zh-CN"/>
        </w:rPr>
        <w:t xml:space="preserve"> </w:t>
      </w:r>
      <w:bookmarkStart w:id="196" w:name="_Toc5282"/>
      <w:bookmarkStart w:id="197" w:name="_Toc30740"/>
      <w:r>
        <w:rPr>
          <w:rFonts w:hint="eastAsia"/>
          <w:b/>
          <w:bCs/>
          <w:color w:val="auto"/>
          <w:lang w:val="en-US" w:eastAsia="zh-CN"/>
        </w:rPr>
        <w:t>11</w:t>
      </w:r>
      <w:r>
        <w:rPr>
          <w:rFonts w:hint="eastAsia"/>
          <w:color w:val="auto"/>
        </w:rPr>
        <w:t>　</w:t>
      </w:r>
      <w:r>
        <w:rPr>
          <w:rFonts w:hint="eastAsia"/>
          <w:color w:val="auto"/>
          <w:lang w:eastAsia="zh-CN"/>
        </w:rPr>
        <w:t>给排水、暖通与空调</w:t>
      </w:r>
      <w:bookmarkEnd w:id="194"/>
      <w:bookmarkEnd w:id="195"/>
      <w:bookmarkEnd w:id="196"/>
      <w:bookmarkEnd w:id="197"/>
    </w:p>
    <w:p w14:paraId="73717D1C">
      <w:pPr>
        <w:pStyle w:val="31"/>
        <w:bidi w:val="0"/>
        <w:outlineLvl w:val="1"/>
        <w:rPr>
          <w:color w:val="auto"/>
          <w:lang w:eastAsia="zh-CN"/>
        </w:rPr>
      </w:pPr>
      <w:bookmarkStart w:id="198" w:name="_Toc2213"/>
      <w:bookmarkStart w:id="199" w:name="_Toc27421"/>
      <w:bookmarkStart w:id="200" w:name="_Toc21286"/>
      <w:r>
        <w:rPr>
          <w:rFonts w:hint="eastAsia"/>
          <w:b/>
          <w:bCs/>
          <w:color w:val="auto"/>
          <w:lang w:val="en-US" w:eastAsia="zh-CN"/>
        </w:rPr>
        <w:t>11. 1</w:t>
      </w:r>
      <w:r>
        <w:rPr>
          <w:rFonts w:hint="eastAsia"/>
          <w:color w:val="auto"/>
        </w:rPr>
        <w:t>　</w:t>
      </w:r>
      <w:r>
        <w:rPr>
          <w:rFonts w:hint="eastAsia"/>
          <w:color w:val="auto"/>
          <w:lang w:eastAsia="zh-CN"/>
        </w:rPr>
        <w:t>给排水</w:t>
      </w:r>
      <w:bookmarkEnd w:id="198"/>
      <w:bookmarkEnd w:id="199"/>
      <w:bookmarkEnd w:id="200"/>
    </w:p>
    <w:p w14:paraId="60E1284F">
      <w:pPr>
        <w:pStyle w:val="29"/>
        <w:bidi w:val="0"/>
        <w:rPr>
          <w:rFonts w:hint="eastAsia"/>
          <w:color w:val="auto"/>
          <w:lang w:eastAsia="zh-CN"/>
        </w:rPr>
      </w:pPr>
      <w:r>
        <w:rPr>
          <w:rFonts w:hint="eastAsia"/>
          <w:b/>
          <w:bCs/>
          <w:color w:val="auto"/>
          <w:lang w:val="en-US" w:eastAsia="zh-CN"/>
        </w:rPr>
        <w:t>11. 1. 1</w:t>
      </w:r>
      <w:r>
        <w:rPr>
          <w:rFonts w:hint="eastAsia"/>
          <w:color w:val="auto"/>
        </w:rPr>
        <w:t>　</w:t>
      </w:r>
      <w:r>
        <w:rPr>
          <w:rFonts w:hint="eastAsia"/>
          <w:color w:val="auto"/>
          <w:lang w:eastAsia="zh-CN"/>
        </w:rPr>
        <w:t>给排水设计应满足</w:t>
      </w:r>
      <w:r>
        <w:rPr>
          <w:color w:val="auto"/>
          <w:lang w:eastAsia="zh-CN"/>
        </w:rPr>
        <w:t>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50797的规定。</w:t>
      </w:r>
    </w:p>
    <w:p w14:paraId="110E56AC">
      <w:pPr>
        <w:pStyle w:val="29"/>
        <w:bidi w:val="0"/>
        <w:rPr>
          <w:color w:val="auto"/>
          <w:lang w:eastAsia="zh-CN"/>
        </w:rPr>
      </w:pPr>
      <w:r>
        <w:rPr>
          <w:rFonts w:hint="eastAsia"/>
          <w:b/>
          <w:bCs/>
          <w:color w:val="auto"/>
          <w:lang w:val="en-US" w:eastAsia="zh-CN"/>
        </w:rPr>
        <w:t>11. 1. 2</w:t>
      </w:r>
      <w:r>
        <w:rPr>
          <w:rFonts w:hint="eastAsia"/>
          <w:color w:val="auto"/>
        </w:rPr>
        <w:t>　</w:t>
      </w:r>
      <w:r>
        <w:rPr>
          <w:rFonts w:hint="eastAsia"/>
          <w:color w:val="auto"/>
          <w:lang w:val="en-US" w:eastAsia="zh-CN"/>
        </w:rPr>
        <w:t>山地</w:t>
      </w:r>
      <w:r>
        <w:rPr>
          <w:color w:val="auto"/>
          <w:lang w:eastAsia="zh-CN"/>
        </w:rPr>
        <w:t>光伏电站给排水设计应符合下列要求：</w:t>
      </w:r>
    </w:p>
    <w:p w14:paraId="7E82F37A">
      <w:pPr>
        <w:pStyle w:val="29"/>
        <w:bidi w:val="0"/>
        <w:ind w:firstLine="562" w:firstLineChars="200"/>
        <w:rPr>
          <w:color w:val="auto"/>
          <w:lang w:eastAsia="zh-CN"/>
        </w:rPr>
      </w:pPr>
      <w:r>
        <w:rPr>
          <w:b/>
          <w:bCs/>
          <w:color w:val="auto"/>
          <w:lang w:eastAsia="zh-CN"/>
        </w:rPr>
        <w:t>1</w:t>
      </w:r>
      <w:r>
        <w:rPr>
          <w:rFonts w:hint="eastAsia"/>
          <w:color w:val="auto"/>
        </w:rPr>
        <w:t>　</w:t>
      </w:r>
      <w:r>
        <w:rPr>
          <w:color w:val="auto"/>
          <w:lang w:eastAsia="zh-CN"/>
        </w:rPr>
        <w:t>应满足生产、生活和消防用水要求，且应符合国家现行标准《建筑给水排水设计</w:t>
      </w:r>
      <w:r>
        <w:rPr>
          <w:rFonts w:hint="eastAsia"/>
          <w:color w:val="auto"/>
          <w:lang w:eastAsia="zh-CN"/>
        </w:rPr>
        <w:t>标准</w:t>
      </w:r>
      <w:r>
        <w:rPr>
          <w:color w:val="auto"/>
          <w:lang w:eastAsia="zh-CN"/>
        </w:rPr>
        <w:t>》GB 50015的规定。</w:t>
      </w:r>
    </w:p>
    <w:p w14:paraId="3901F8F9">
      <w:pPr>
        <w:pStyle w:val="29"/>
        <w:bidi w:val="0"/>
        <w:ind w:firstLine="562" w:firstLineChars="200"/>
        <w:rPr>
          <w:color w:val="auto"/>
          <w:lang w:eastAsia="zh-CN"/>
        </w:rPr>
      </w:pPr>
      <w:r>
        <w:rPr>
          <w:b/>
          <w:bCs/>
          <w:color w:val="auto"/>
          <w:lang w:eastAsia="zh-CN"/>
        </w:rPr>
        <w:t>2</w:t>
      </w:r>
      <w:r>
        <w:rPr>
          <w:rFonts w:hint="eastAsia"/>
          <w:color w:val="auto"/>
        </w:rPr>
        <w:t>　</w:t>
      </w:r>
      <w:r>
        <w:rPr>
          <w:color w:val="auto"/>
          <w:lang w:eastAsia="zh-CN"/>
        </w:rPr>
        <w:t>应合理利用水资源和保护水体。各类废、污水应按水质分流排水，并应根据</w:t>
      </w:r>
      <w:r>
        <w:rPr>
          <w:rFonts w:hint="eastAsia"/>
          <w:color w:val="auto"/>
          <w:lang w:eastAsia="zh-CN"/>
        </w:rPr>
        <w:t>专题评估</w:t>
      </w:r>
      <w:r>
        <w:rPr>
          <w:color w:val="auto"/>
          <w:lang w:eastAsia="zh-CN"/>
        </w:rPr>
        <w:t>排放要求进行处理。</w:t>
      </w:r>
    </w:p>
    <w:p w14:paraId="1F9055B3">
      <w:pPr>
        <w:pStyle w:val="29"/>
        <w:bidi w:val="0"/>
        <w:ind w:firstLine="562" w:firstLineChars="200"/>
        <w:rPr>
          <w:color w:val="auto"/>
          <w:lang w:eastAsia="zh-CN"/>
        </w:rPr>
      </w:pPr>
      <w:r>
        <w:rPr>
          <w:rFonts w:hint="eastAsia"/>
          <w:b/>
          <w:bCs/>
          <w:color w:val="auto"/>
          <w:lang w:eastAsia="zh-CN"/>
        </w:rPr>
        <w:t>3</w:t>
      </w:r>
      <w:r>
        <w:rPr>
          <w:rFonts w:hint="eastAsia"/>
          <w:color w:val="auto"/>
        </w:rPr>
        <w:t>　</w:t>
      </w:r>
      <w:r>
        <w:rPr>
          <w:rFonts w:hint="eastAsia"/>
          <w:color w:val="auto"/>
          <w:lang w:eastAsia="zh-CN"/>
        </w:rPr>
        <w:t>变电站排水系统应综合考虑电缆沟、设备基础等地下构筑物排水需求。</w:t>
      </w:r>
    </w:p>
    <w:p w14:paraId="47454433">
      <w:pPr>
        <w:pStyle w:val="29"/>
        <w:bidi w:val="0"/>
        <w:rPr>
          <w:color w:val="auto"/>
          <w:lang w:eastAsia="zh-CN"/>
        </w:rPr>
      </w:pPr>
      <w:r>
        <w:rPr>
          <w:rFonts w:hint="eastAsia"/>
          <w:b/>
          <w:bCs/>
          <w:color w:val="auto"/>
          <w:lang w:val="en-US" w:eastAsia="zh-CN"/>
        </w:rPr>
        <w:t>11. 1. 3</w:t>
      </w:r>
      <w:r>
        <w:rPr>
          <w:rFonts w:hint="eastAsia"/>
          <w:color w:val="auto"/>
        </w:rPr>
        <w:t>　</w:t>
      </w:r>
      <w:r>
        <w:rPr>
          <w:rFonts w:hint="eastAsia"/>
          <w:color w:val="auto"/>
          <w:lang w:eastAsia="zh-CN"/>
        </w:rPr>
        <w:t>高海拔</w:t>
      </w:r>
      <w:r>
        <w:rPr>
          <w:color w:val="auto"/>
          <w:lang w:eastAsia="zh-CN"/>
        </w:rPr>
        <w:t>寒冷地区，</w:t>
      </w:r>
      <w:r>
        <w:rPr>
          <w:rFonts w:hint="eastAsia"/>
          <w:color w:val="auto"/>
          <w:lang w:eastAsia="zh-CN"/>
        </w:rPr>
        <w:t>给水管道应敷设在当地冰冻线以下，</w:t>
      </w:r>
      <w:r>
        <w:rPr>
          <w:color w:val="auto"/>
          <w:lang w:eastAsia="zh-CN"/>
        </w:rPr>
        <w:t>给水管设计时应设泄水装置。排水管道宜埋设在冰冻线以下</w:t>
      </w:r>
      <w:r>
        <w:rPr>
          <w:rFonts w:hint="eastAsia"/>
          <w:color w:val="auto"/>
          <w:lang w:eastAsia="zh-CN"/>
        </w:rPr>
        <w:t>。</w:t>
      </w:r>
    </w:p>
    <w:p w14:paraId="63A36CFF">
      <w:pPr>
        <w:pStyle w:val="29"/>
        <w:bidi w:val="0"/>
        <w:rPr>
          <w:color w:val="auto"/>
        </w:rPr>
      </w:pPr>
      <w:r>
        <w:rPr>
          <w:rFonts w:hint="eastAsia"/>
          <w:b/>
          <w:bCs/>
          <w:color w:val="auto"/>
          <w:lang w:val="en-US" w:eastAsia="zh-CN"/>
        </w:rPr>
        <w:t>11. 1. 4</w:t>
      </w:r>
      <w:r>
        <w:rPr>
          <w:rFonts w:hint="eastAsia"/>
          <w:color w:val="auto"/>
        </w:rPr>
        <w:t>　高海拔</w:t>
      </w:r>
      <w:r>
        <w:rPr>
          <w:color w:val="auto"/>
        </w:rPr>
        <w:t>寒冷地区的消火栓系统，应采取防冻措施，并宜采用干式消火栓系统和干式室外消火栓。</w:t>
      </w:r>
    </w:p>
    <w:p w14:paraId="6D5A600C">
      <w:pPr>
        <w:pStyle w:val="31"/>
        <w:bidi w:val="0"/>
        <w:outlineLvl w:val="1"/>
        <w:rPr>
          <w:color w:val="auto"/>
          <w:lang w:eastAsia="zh-CN"/>
        </w:rPr>
      </w:pPr>
      <w:bookmarkStart w:id="201" w:name="bookmark52"/>
      <w:bookmarkEnd w:id="201"/>
      <w:bookmarkStart w:id="202" w:name="_Toc28227"/>
      <w:bookmarkStart w:id="203" w:name="_Toc5351"/>
      <w:bookmarkStart w:id="204" w:name="_Toc23711"/>
      <w:r>
        <w:rPr>
          <w:rFonts w:hint="eastAsia"/>
          <w:b/>
          <w:bCs/>
          <w:color w:val="auto"/>
          <w:lang w:val="en-US" w:eastAsia="zh-CN"/>
        </w:rPr>
        <w:t>11. 2</w:t>
      </w:r>
      <w:r>
        <w:rPr>
          <w:rFonts w:hint="eastAsia"/>
          <w:color w:val="auto"/>
        </w:rPr>
        <w:t>　</w:t>
      </w:r>
      <w:r>
        <w:rPr>
          <w:rFonts w:hint="eastAsia"/>
          <w:color w:val="auto"/>
          <w:lang w:eastAsia="zh-CN"/>
        </w:rPr>
        <w:t>暖通与空调</w:t>
      </w:r>
      <w:bookmarkEnd w:id="202"/>
      <w:bookmarkEnd w:id="203"/>
      <w:bookmarkEnd w:id="204"/>
    </w:p>
    <w:p w14:paraId="2FE4DA07">
      <w:pPr>
        <w:pStyle w:val="29"/>
        <w:bidi w:val="0"/>
        <w:rPr>
          <w:color w:val="auto"/>
          <w:lang w:eastAsia="zh-CN"/>
        </w:rPr>
      </w:pPr>
      <w:r>
        <w:rPr>
          <w:rFonts w:hint="eastAsia"/>
          <w:b/>
          <w:bCs/>
          <w:color w:val="auto"/>
          <w:lang w:val="en-US" w:eastAsia="zh-CN"/>
        </w:rPr>
        <w:t>11. 2. 1</w:t>
      </w:r>
      <w:r>
        <w:rPr>
          <w:rFonts w:hint="eastAsia"/>
          <w:color w:val="auto"/>
        </w:rPr>
        <w:t>　</w:t>
      </w:r>
      <w:r>
        <w:rPr>
          <w:rFonts w:hint="eastAsia"/>
          <w:color w:val="auto"/>
          <w:lang w:eastAsia="zh-CN"/>
        </w:rPr>
        <w:t>暖通与空调设计</w:t>
      </w:r>
      <w:r>
        <w:rPr>
          <w:color w:val="auto"/>
          <w:lang w:eastAsia="zh-CN"/>
        </w:rPr>
        <w:t>应符合现行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w:t>
      </w:r>
      <w:r>
        <w:rPr>
          <w:color w:val="auto"/>
          <w:lang w:eastAsia="zh-CN"/>
        </w:rPr>
        <w:t>《建筑设计防火规范》GB 50016 和《建筑防烟排烟系统技术标准》GB 51251的规定。</w:t>
      </w:r>
    </w:p>
    <w:p w14:paraId="59C25F7C">
      <w:pPr>
        <w:pStyle w:val="29"/>
        <w:bidi w:val="0"/>
        <w:rPr>
          <w:color w:val="auto"/>
          <w:lang w:eastAsia="zh-CN"/>
        </w:rPr>
      </w:pPr>
      <w:r>
        <w:rPr>
          <w:rFonts w:hint="eastAsia"/>
          <w:b/>
          <w:bCs/>
          <w:color w:val="auto"/>
          <w:lang w:val="en-US" w:eastAsia="zh-CN"/>
        </w:rPr>
        <w:t>11. 2. 2</w:t>
      </w:r>
      <w:r>
        <w:rPr>
          <w:rFonts w:hint="eastAsia"/>
          <w:color w:val="auto"/>
        </w:rPr>
        <w:t>　</w:t>
      </w:r>
      <w:r>
        <w:rPr>
          <w:color w:val="auto"/>
          <w:lang w:eastAsia="zh-CN"/>
        </w:rPr>
        <w:t>光伏电站建筑采暖通风与空气调节设计方案，应根据建筑的用途与功能、使用要求、冷热负荷构成特点、环境条件以及能源状况等，结合国家有关安全、环保、节能、卫生等方针、政策，经综合技术经济比较确定。</w:t>
      </w:r>
    </w:p>
    <w:p w14:paraId="707C3F8E">
      <w:pPr>
        <w:pStyle w:val="29"/>
        <w:bidi w:val="0"/>
        <w:rPr>
          <w:color w:val="auto"/>
          <w:lang w:eastAsia="zh-CN"/>
        </w:rPr>
      </w:pPr>
      <w:r>
        <w:rPr>
          <w:rFonts w:hint="eastAsia"/>
          <w:b/>
          <w:bCs/>
          <w:color w:val="auto"/>
          <w:lang w:val="en-US" w:eastAsia="zh-CN"/>
        </w:rPr>
        <w:t>11. 2. 3</w:t>
      </w:r>
      <w:r>
        <w:rPr>
          <w:rFonts w:hint="eastAsia"/>
          <w:color w:val="auto"/>
        </w:rPr>
        <w:t>　</w:t>
      </w:r>
      <w:r>
        <w:rPr>
          <w:rFonts w:hint="eastAsia"/>
          <w:color w:val="auto"/>
          <w:lang w:eastAsia="zh-CN"/>
        </w:rPr>
        <w:t>高海拔寒冷地区</w:t>
      </w:r>
      <w:r>
        <w:rPr>
          <w:color w:val="auto"/>
          <w:lang w:eastAsia="zh-CN"/>
        </w:rPr>
        <w:t>，当建筑物内经常有人停留、工作或对室内温度有一定要求时，应设置采暖设施。</w:t>
      </w:r>
    </w:p>
    <w:p w14:paraId="4BAD7689">
      <w:pPr>
        <w:pStyle w:val="29"/>
        <w:bidi w:val="0"/>
        <w:rPr>
          <w:color w:val="auto"/>
          <w:lang w:eastAsia="zh-CN"/>
        </w:rPr>
      </w:pPr>
      <w:r>
        <w:rPr>
          <w:rFonts w:hint="eastAsia"/>
          <w:b/>
          <w:bCs/>
          <w:color w:val="auto"/>
          <w:lang w:val="en-US" w:eastAsia="zh-CN"/>
        </w:rPr>
        <w:t>11. 2. 4</w:t>
      </w:r>
      <w:r>
        <w:rPr>
          <w:rFonts w:hint="eastAsia"/>
          <w:color w:val="auto"/>
        </w:rPr>
        <w:t>　</w:t>
      </w:r>
      <w:r>
        <w:rPr>
          <w:color w:val="auto"/>
          <w:lang w:eastAsia="zh-CN"/>
        </w:rPr>
        <w:t>在海拔3500</w:t>
      </w:r>
      <w:r>
        <w:rPr>
          <w:rFonts w:hint="eastAsia"/>
          <w:color w:val="auto"/>
          <w:lang w:val="en-US" w:eastAsia="zh-CN"/>
        </w:rPr>
        <w:t>m</w:t>
      </w:r>
      <w:r>
        <w:rPr>
          <w:color w:val="auto"/>
          <w:lang w:eastAsia="zh-CN"/>
        </w:rPr>
        <w:t>以上的办公生活建筑，宜设置集中供氧或弥散供氧设施，或预留安装条件。</w:t>
      </w:r>
    </w:p>
    <w:p w14:paraId="5501497C">
      <w:pPr>
        <w:pStyle w:val="3"/>
        <w:pageBreakBefore w:val="0"/>
        <w:widowControl w:val="0"/>
        <w:topLinePunct w:val="0"/>
        <w:bidi w:val="0"/>
        <w:jc w:val="both"/>
        <w:rPr>
          <w:rFonts w:hint="default"/>
          <w:color w:val="auto"/>
          <w:highlight w:val="none"/>
          <w:lang w:eastAsia="zh-CN"/>
        </w:rPr>
      </w:pPr>
    </w:p>
    <w:p w14:paraId="5A4C846E">
      <w:pPr>
        <w:rPr>
          <w:rFonts w:hint="default"/>
          <w:color w:val="auto"/>
          <w:highlight w:val="none"/>
          <w:lang w:eastAsia="zh-CN"/>
        </w:rPr>
      </w:pPr>
    </w:p>
    <w:p w14:paraId="3C55F009">
      <w:pPr>
        <w:rPr>
          <w:rFonts w:hint="default"/>
          <w:color w:val="auto"/>
          <w:highlight w:val="none"/>
          <w:lang w:eastAsia="zh-CN"/>
        </w:rPr>
      </w:pPr>
    </w:p>
    <w:p w14:paraId="309A2DE7">
      <w:pPr>
        <w:rPr>
          <w:rFonts w:hint="default"/>
          <w:color w:val="auto"/>
          <w:highlight w:val="none"/>
          <w:lang w:eastAsia="zh-CN"/>
        </w:rPr>
      </w:pPr>
    </w:p>
    <w:p w14:paraId="657FAC72">
      <w:pPr>
        <w:rPr>
          <w:rFonts w:hint="default"/>
          <w:color w:val="auto"/>
          <w:highlight w:val="none"/>
          <w:lang w:eastAsia="zh-CN"/>
        </w:rPr>
      </w:pPr>
    </w:p>
    <w:p w14:paraId="6742EB67">
      <w:pPr>
        <w:rPr>
          <w:rFonts w:hint="default"/>
          <w:color w:val="auto"/>
          <w:highlight w:val="none"/>
          <w:lang w:eastAsia="zh-CN"/>
        </w:rPr>
      </w:pPr>
    </w:p>
    <w:p w14:paraId="7676218D">
      <w:pPr>
        <w:rPr>
          <w:rFonts w:hint="default"/>
          <w:color w:val="auto"/>
          <w:highlight w:val="none"/>
          <w:lang w:eastAsia="zh-CN"/>
        </w:rPr>
      </w:pPr>
    </w:p>
    <w:p w14:paraId="4449434F">
      <w:pPr>
        <w:rPr>
          <w:rFonts w:hint="default"/>
          <w:color w:val="auto"/>
          <w:highlight w:val="none"/>
          <w:lang w:eastAsia="zh-CN"/>
        </w:rPr>
      </w:pPr>
    </w:p>
    <w:p w14:paraId="30A8924C">
      <w:pPr>
        <w:rPr>
          <w:rFonts w:hint="default"/>
          <w:color w:val="auto"/>
          <w:highlight w:val="none"/>
          <w:lang w:eastAsia="zh-CN"/>
        </w:rPr>
      </w:pPr>
    </w:p>
    <w:p w14:paraId="2D80C259">
      <w:pPr>
        <w:rPr>
          <w:rFonts w:hint="default"/>
          <w:color w:val="auto"/>
          <w:highlight w:val="none"/>
          <w:lang w:eastAsia="zh-CN"/>
        </w:rPr>
      </w:pPr>
    </w:p>
    <w:p w14:paraId="0B0F38B6">
      <w:pPr>
        <w:rPr>
          <w:rFonts w:hint="default"/>
          <w:color w:val="auto"/>
          <w:highlight w:val="none"/>
          <w:lang w:eastAsia="zh-CN"/>
        </w:rPr>
      </w:pPr>
    </w:p>
    <w:p w14:paraId="71214383">
      <w:pPr>
        <w:rPr>
          <w:rFonts w:hint="default"/>
          <w:color w:val="auto"/>
          <w:highlight w:val="none"/>
          <w:lang w:eastAsia="zh-CN"/>
        </w:rPr>
      </w:pPr>
    </w:p>
    <w:p w14:paraId="428EB951">
      <w:pPr>
        <w:rPr>
          <w:rFonts w:hint="default"/>
          <w:color w:val="auto"/>
          <w:highlight w:val="none"/>
          <w:lang w:eastAsia="zh-CN"/>
        </w:rPr>
      </w:pPr>
    </w:p>
    <w:p w14:paraId="06B3CCBE">
      <w:pPr>
        <w:rPr>
          <w:rFonts w:hint="default"/>
          <w:color w:val="auto"/>
          <w:highlight w:val="none"/>
          <w:lang w:eastAsia="zh-CN"/>
        </w:rPr>
      </w:pPr>
    </w:p>
    <w:p w14:paraId="4F0B44CD">
      <w:pPr>
        <w:rPr>
          <w:rFonts w:hint="default"/>
          <w:color w:val="auto"/>
          <w:highlight w:val="none"/>
          <w:lang w:eastAsia="zh-CN"/>
        </w:rPr>
      </w:pPr>
    </w:p>
    <w:p w14:paraId="314D3F93">
      <w:pPr>
        <w:rPr>
          <w:rFonts w:hint="default"/>
          <w:color w:val="auto"/>
          <w:highlight w:val="none"/>
          <w:lang w:eastAsia="zh-CN"/>
        </w:rPr>
      </w:pPr>
    </w:p>
    <w:p w14:paraId="182ACD1A">
      <w:pPr>
        <w:rPr>
          <w:rFonts w:hint="default"/>
          <w:color w:val="auto"/>
          <w:highlight w:val="none"/>
          <w:lang w:eastAsia="zh-CN"/>
        </w:rPr>
      </w:pPr>
    </w:p>
    <w:p w14:paraId="1CDB1C7C">
      <w:pPr>
        <w:rPr>
          <w:rFonts w:hint="default"/>
          <w:color w:val="auto"/>
          <w:highlight w:val="none"/>
          <w:lang w:eastAsia="zh-CN"/>
        </w:rPr>
      </w:pPr>
    </w:p>
    <w:p w14:paraId="4253101C">
      <w:pPr>
        <w:pStyle w:val="30"/>
        <w:bidi w:val="0"/>
        <w:rPr>
          <w:rFonts w:hint="eastAsia"/>
          <w:color w:val="auto"/>
          <w:lang w:eastAsia="zh-CN"/>
        </w:rPr>
      </w:pPr>
      <w:bookmarkStart w:id="205" w:name="_Toc19416"/>
      <w:bookmarkStart w:id="206" w:name="_Toc14148"/>
    </w:p>
    <w:p w14:paraId="2E4BA360">
      <w:pPr>
        <w:pStyle w:val="30"/>
        <w:bidi w:val="0"/>
        <w:rPr>
          <w:rFonts w:hint="eastAsia"/>
          <w:color w:val="auto"/>
          <w:lang w:eastAsia="zh-CN"/>
        </w:rPr>
      </w:pPr>
    </w:p>
    <w:p w14:paraId="41D7563D">
      <w:pPr>
        <w:pStyle w:val="30"/>
        <w:bidi w:val="0"/>
        <w:outlineLvl w:val="0"/>
        <w:rPr>
          <w:color w:val="auto"/>
          <w:lang w:eastAsia="zh-CN"/>
        </w:rPr>
      </w:pPr>
      <w:bookmarkStart w:id="207" w:name="_Toc24686"/>
      <w:bookmarkStart w:id="208" w:name="_Toc12899"/>
      <w:r>
        <w:rPr>
          <w:rFonts w:hint="eastAsia"/>
          <w:b/>
          <w:bCs/>
          <w:color w:val="auto"/>
          <w:lang w:val="en-US" w:eastAsia="zh-CN"/>
        </w:rPr>
        <w:t>12</w:t>
      </w:r>
      <w:r>
        <w:rPr>
          <w:rFonts w:hint="eastAsia"/>
          <w:color w:val="auto"/>
        </w:rPr>
        <w:t>　</w:t>
      </w:r>
      <w:r>
        <w:rPr>
          <w:rFonts w:hint="eastAsia"/>
          <w:color w:val="auto"/>
          <w:lang w:eastAsia="zh-CN"/>
        </w:rPr>
        <w:t>消    防</w:t>
      </w:r>
      <w:bookmarkEnd w:id="205"/>
      <w:bookmarkEnd w:id="206"/>
      <w:bookmarkEnd w:id="207"/>
      <w:bookmarkEnd w:id="208"/>
    </w:p>
    <w:p w14:paraId="62F30315">
      <w:pPr>
        <w:pStyle w:val="31"/>
        <w:bidi w:val="0"/>
        <w:outlineLvl w:val="1"/>
        <w:rPr>
          <w:color w:val="auto"/>
        </w:rPr>
      </w:pPr>
      <w:bookmarkStart w:id="209" w:name="bookmark59"/>
      <w:bookmarkEnd w:id="209"/>
      <w:bookmarkStart w:id="210" w:name="_Toc5701"/>
      <w:bookmarkStart w:id="211" w:name="_Toc602"/>
      <w:bookmarkStart w:id="212" w:name="_Toc13309"/>
      <w:r>
        <w:rPr>
          <w:rFonts w:hint="eastAsia"/>
          <w:b/>
          <w:bCs/>
          <w:color w:val="auto"/>
          <w:lang w:val="en-US" w:eastAsia="zh-CN"/>
        </w:rPr>
        <w:t>12. 1</w:t>
      </w:r>
      <w:r>
        <w:rPr>
          <w:rFonts w:hint="eastAsia"/>
          <w:color w:val="auto"/>
        </w:rPr>
        <w:t>　</w:t>
      </w:r>
      <w:r>
        <w:rPr>
          <w:rFonts w:hint="eastAsia"/>
          <w:color w:val="auto"/>
          <w:lang w:eastAsia="zh-CN"/>
        </w:rPr>
        <w:t>建（构）筑物火灾防护</w:t>
      </w:r>
      <w:bookmarkEnd w:id="210"/>
      <w:bookmarkEnd w:id="211"/>
    </w:p>
    <w:bookmarkEnd w:id="212"/>
    <w:p w14:paraId="2ED91DDB">
      <w:pPr>
        <w:pStyle w:val="29"/>
        <w:bidi w:val="0"/>
        <w:rPr>
          <w:color w:val="auto"/>
          <w:lang w:eastAsia="zh-CN"/>
        </w:rPr>
      </w:pPr>
      <w:r>
        <w:rPr>
          <w:rFonts w:hint="eastAsia"/>
          <w:b/>
          <w:bCs/>
          <w:color w:val="auto"/>
          <w:lang w:val="en-US" w:eastAsia="zh-CN"/>
        </w:rPr>
        <w:t>12. 1. 1</w:t>
      </w:r>
      <w:r>
        <w:rPr>
          <w:rFonts w:hint="eastAsia"/>
          <w:color w:val="auto"/>
        </w:rPr>
        <w:t>　</w:t>
      </w:r>
      <w:r>
        <w:rPr>
          <w:color w:val="auto"/>
          <w:lang w:eastAsia="zh-CN"/>
        </w:rPr>
        <w:t>光伏电站建（构）筑物</w:t>
      </w:r>
      <w:r>
        <w:rPr>
          <w:rFonts w:hint="eastAsia"/>
          <w:color w:val="auto"/>
          <w:lang w:eastAsia="zh-CN"/>
        </w:rPr>
        <w:t>防火要求应</w:t>
      </w:r>
      <w:r>
        <w:rPr>
          <w:color w:val="auto"/>
          <w:lang w:eastAsia="zh-CN"/>
        </w:rPr>
        <w:t>符合现行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r>
        <w:rPr>
          <w:color w:val="auto"/>
          <w:lang w:eastAsia="zh-CN"/>
        </w:rPr>
        <w:t>电站电化学储能系统的建筑防火要求</w:t>
      </w:r>
      <w:r>
        <w:rPr>
          <w:rFonts w:hint="eastAsia"/>
          <w:color w:val="auto"/>
          <w:lang w:eastAsia="zh-CN"/>
        </w:rPr>
        <w:t>尚</w:t>
      </w:r>
      <w:r>
        <w:rPr>
          <w:color w:val="auto"/>
          <w:lang w:eastAsia="zh-CN"/>
        </w:rPr>
        <w:t>应符合现行国家标准《电化学储能电站设计</w:t>
      </w:r>
      <w:r>
        <w:rPr>
          <w:rFonts w:hint="eastAsia"/>
          <w:color w:val="auto"/>
          <w:lang w:val="en-US" w:eastAsia="zh-CN"/>
        </w:rPr>
        <w:t>标准</w:t>
      </w:r>
      <w:r>
        <w:rPr>
          <w:color w:val="auto"/>
          <w:lang w:eastAsia="zh-CN"/>
        </w:rPr>
        <w:t>》GB 51048的规定。</w:t>
      </w:r>
    </w:p>
    <w:p w14:paraId="4FB1BA91">
      <w:pPr>
        <w:pStyle w:val="31"/>
        <w:bidi w:val="0"/>
        <w:outlineLvl w:val="1"/>
        <w:rPr>
          <w:color w:val="auto"/>
          <w:lang w:eastAsia="zh-CN"/>
        </w:rPr>
      </w:pPr>
      <w:bookmarkStart w:id="213" w:name="_Toc7425"/>
      <w:bookmarkStart w:id="214" w:name="_Toc27722"/>
      <w:bookmarkStart w:id="215" w:name="OLE_LINK1"/>
      <w:r>
        <w:rPr>
          <w:rFonts w:hint="eastAsia"/>
          <w:b/>
          <w:bCs/>
          <w:color w:val="auto"/>
          <w:lang w:val="en-US" w:eastAsia="zh-CN"/>
        </w:rPr>
        <w:t>12. 2</w:t>
      </w:r>
      <w:r>
        <w:rPr>
          <w:rFonts w:hint="eastAsia"/>
          <w:color w:val="auto"/>
        </w:rPr>
        <w:t>　</w:t>
      </w:r>
      <w:r>
        <w:rPr>
          <w:rFonts w:hint="eastAsia"/>
          <w:color w:val="auto"/>
          <w:lang w:eastAsia="zh-CN"/>
        </w:rPr>
        <w:t>预制舱火灾防护</w:t>
      </w:r>
      <w:bookmarkEnd w:id="213"/>
      <w:bookmarkEnd w:id="214"/>
      <w:bookmarkEnd w:id="215"/>
    </w:p>
    <w:p w14:paraId="787DB00F">
      <w:pPr>
        <w:pStyle w:val="29"/>
        <w:bidi w:val="0"/>
        <w:rPr>
          <w:color w:val="auto"/>
          <w:lang w:eastAsia="zh-CN"/>
        </w:rPr>
      </w:pPr>
      <w:r>
        <w:rPr>
          <w:rFonts w:hint="eastAsia"/>
          <w:b/>
          <w:bCs/>
          <w:color w:val="auto"/>
          <w:lang w:val="en-US" w:eastAsia="zh-CN"/>
        </w:rPr>
        <w:t>12. 2. 1</w:t>
      </w:r>
      <w:r>
        <w:rPr>
          <w:rFonts w:hint="eastAsia"/>
          <w:color w:val="auto"/>
        </w:rPr>
        <w:t>　</w:t>
      </w:r>
      <w:r>
        <w:rPr>
          <w:color w:val="auto"/>
          <w:lang w:eastAsia="zh-CN"/>
        </w:rPr>
        <w:t>预制舱舱内采用保温隔热材料时，其燃烧性能应符合</w:t>
      </w:r>
      <w:r>
        <w:rPr>
          <w:rFonts w:hint="eastAsia"/>
          <w:color w:val="auto"/>
          <w:lang w:eastAsia="zh-CN"/>
        </w:rPr>
        <w:t>现行国家标准</w:t>
      </w:r>
      <w:r>
        <w:rPr>
          <w:color w:val="auto"/>
          <w:lang w:eastAsia="zh-CN"/>
        </w:rPr>
        <w:t>《建筑材料及制品燃烧性能分级》GB 8624规定的A级。</w:t>
      </w:r>
    </w:p>
    <w:p w14:paraId="0869345C">
      <w:pPr>
        <w:pStyle w:val="29"/>
        <w:bidi w:val="0"/>
        <w:rPr>
          <w:color w:val="auto"/>
          <w:lang w:eastAsia="zh-CN"/>
        </w:rPr>
      </w:pPr>
      <w:r>
        <w:rPr>
          <w:rFonts w:hint="eastAsia"/>
          <w:b/>
          <w:bCs/>
          <w:color w:val="auto"/>
          <w:lang w:val="en-US" w:eastAsia="zh-CN"/>
        </w:rPr>
        <w:t>12. 2. 2</w:t>
      </w:r>
      <w:r>
        <w:rPr>
          <w:rFonts w:hint="eastAsia"/>
          <w:color w:val="auto"/>
        </w:rPr>
        <w:t>　</w:t>
      </w:r>
      <w:r>
        <w:rPr>
          <w:color w:val="auto"/>
          <w:lang w:eastAsia="zh-CN"/>
        </w:rPr>
        <w:t>预制舱体围护结构的耐火时间应不低于1h，耐火时间测试应符合</w:t>
      </w:r>
      <w:r>
        <w:rPr>
          <w:rFonts w:hint="eastAsia"/>
          <w:color w:val="auto"/>
          <w:lang w:eastAsia="zh-CN"/>
        </w:rPr>
        <w:t>现行国家标准《建筑构件耐火试验方法 第8部分：非承重垂直分隔构件的特殊要求》</w:t>
      </w:r>
      <w:r>
        <w:rPr>
          <w:color w:val="auto"/>
          <w:lang w:eastAsia="zh-CN"/>
        </w:rPr>
        <w:t xml:space="preserve">GB/T 9978.8的规定。 </w:t>
      </w:r>
    </w:p>
    <w:p w14:paraId="38F70A3B">
      <w:pPr>
        <w:pStyle w:val="29"/>
        <w:bidi w:val="0"/>
        <w:rPr>
          <w:color w:val="auto"/>
          <w:lang w:eastAsia="zh-CN"/>
        </w:rPr>
      </w:pPr>
      <w:r>
        <w:rPr>
          <w:rFonts w:hint="eastAsia"/>
          <w:b/>
          <w:bCs/>
          <w:color w:val="auto"/>
          <w:lang w:val="en-US" w:eastAsia="zh-CN"/>
        </w:rPr>
        <w:t>12. 2. 3</w:t>
      </w:r>
      <w:r>
        <w:rPr>
          <w:rFonts w:hint="eastAsia"/>
          <w:color w:val="auto"/>
        </w:rPr>
        <w:t>　</w:t>
      </w:r>
      <w:r>
        <w:rPr>
          <w:color w:val="auto"/>
          <w:lang w:eastAsia="zh-CN"/>
        </w:rPr>
        <w:t>电池预制舱门耐火时间应不低于1h，耐火时间的测试应符合</w:t>
      </w:r>
      <w:r>
        <w:rPr>
          <w:rFonts w:hint="eastAsia"/>
          <w:color w:val="auto"/>
          <w:lang w:eastAsia="zh-CN"/>
        </w:rPr>
        <w:t>现行国家标准《门和卷帘的耐火试验方法》</w:t>
      </w:r>
      <w:r>
        <w:rPr>
          <w:color w:val="auto"/>
          <w:lang w:eastAsia="zh-CN"/>
        </w:rPr>
        <w:t>GB/T 7633的规定。</w:t>
      </w:r>
    </w:p>
    <w:p w14:paraId="73F24A16">
      <w:pPr>
        <w:pStyle w:val="29"/>
        <w:bidi w:val="0"/>
        <w:rPr>
          <w:color w:val="auto"/>
          <w:lang w:eastAsia="zh-CN"/>
        </w:rPr>
      </w:pPr>
      <w:r>
        <w:rPr>
          <w:rFonts w:hint="eastAsia"/>
          <w:b/>
          <w:bCs/>
          <w:color w:val="auto"/>
          <w:lang w:val="en-US" w:eastAsia="zh-CN"/>
        </w:rPr>
        <w:t>12. 2. 4</w:t>
      </w:r>
      <w:r>
        <w:rPr>
          <w:rFonts w:hint="eastAsia"/>
          <w:color w:val="auto"/>
        </w:rPr>
        <w:t>　</w:t>
      </w:r>
      <w:r>
        <w:rPr>
          <w:color w:val="auto"/>
          <w:lang w:eastAsia="zh-CN"/>
        </w:rPr>
        <w:t>预制舱应满足</w:t>
      </w:r>
      <w:r>
        <w:rPr>
          <w:rFonts w:hint="eastAsia"/>
          <w:color w:val="auto"/>
          <w:lang w:eastAsia="zh-CN"/>
        </w:rPr>
        <w:t>承载力、</w:t>
      </w:r>
      <w:r>
        <w:rPr>
          <w:color w:val="auto"/>
          <w:lang w:eastAsia="zh-CN"/>
        </w:rPr>
        <w:t>防水、防潮、防腐蚀、防风沙等要求，防护等级应不低于</w:t>
      </w:r>
      <w:r>
        <w:rPr>
          <w:rFonts w:hint="eastAsia"/>
          <w:color w:val="auto"/>
          <w:lang w:eastAsia="zh-CN"/>
        </w:rPr>
        <w:t>现行国家标准《外壳防护等级（IP代码）》</w:t>
      </w:r>
      <w:r>
        <w:rPr>
          <w:color w:val="auto"/>
          <w:lang w:eastAsia="zh-CN"/>
        </w:rPr>
        <w:t>GB/T 4208中IP55 的规定，设计使用年限应不低于25年。</w:t>
      </w:r>
    </w:p>
    <w:p w14:paraId="0BBD46E8">
      <w:pPr>
        <w:pStyle w:val="29"/>
        <w:bidi w:val="0"/>
        <w:rPr>
          <w:color w:val="auto"/>
          <w:lang w:eastAsia="zh-CN"/>
        </w:rPr>
      </w:pPr>
      <w:r>
        <w:rPr>
          <w:rFonts w:hint="eastAsia"/>
          <w:b/>
          <w:bCs/>
          <w:color w:val="auto"/>
          <w:lang w:val="en-US" w:eastAsia="zh-CN"/>
        </w:rPr>
        <w:t>12. 2. 5</w:t>
      </w:r>
      <w:r>
        <w:rPr>
          <w:rFonts w:hint="eastAsia"/>
          <w:color w:val="auto"/>
        </w:rPr>
        <w:t>　</w:t>
      </w:r>
      <w:r>
        <w:rPr>
          <w:color w:val="auto"/>
          <w:lang w:eastAsia="zh-CN"/>
        </w:rPr>
        <w:t>预制舱外应设置手动火灾报警按钮，舱内应设置感温探测器和感烟探测器，感温、感烟探测器宜设置在易于接受热烟气的位置，步入式电池预制舱内探测器宜安装在中间走道顶部。</w:t>
      </w:r>
    </w:p>
    <w:p w14:paraId="7898EA35">
      <w:pPr>
        <w:pStyle w:val="29"/>
        <w:bidi w:val="0"/>
        <w:rPr>
          <w:color w:val="auto"/>
          <w:lang w:eastAsia="zh-CN"/>
        </w:rPr>
      </w:pPr>
      <w:r>
        <w:rPr>
          <w:color w:val="auto"/>
          <w:lang w:eastAsia="zh-CN"/>
        </w:rPr>
        <w:t xml:space="preserve"> </w:t>
      </w:r>
      <w:r>
        <w:rPr>
          <w:rFonts w:hint="eastAsia"/>
          <w:b/>
          <w:bCs/>
          <w:color w:val="auto"/>
          <w:lang w:val="en-US" w:eastAsia="zh-CN"/>
        </w:rPr>
        <w:t>12. 2. 6</w:t>
      </w:r>
      <w:r>
        <w:rPr>
          <w:rFonts w:hint="eastAsia"/>
          <w:color w:val="auto"/>
        </w:rPr>
        <w:t>　</w:t>
      </w:r>
      <w:r>
        <w:rPr>
          <w:color w:val="auto"/>
          <w:lang w:eastAsia="zh-CN"/>
        </w:rPr>
        <w:t>电池预制舱内应设置可燃气体探测装置，可燃气体探测器报警信息和故障信息应上传至有人值守的控制室或操作室，并应在以上场所设置气体浓度显示和提示报警装置。</w:t>
      </w:r>
    </w:p>
    <w:p w14:paraId="71A66815">
      <w:pPr>
        <w:pStyle w:val="29"/>
        <w:bidi w:val="0"/>
        <w:rPr>
          <w:color w:val="auto"/>
          <w:lang w:eastAsia="zh-CN"/>
        </w:rPr>
      </w:pPr>
      <w:r>
        <w:rPr>
          <w:rFonts w:hint="eastAsia"/>
          <w:b/>
          <w:bCs/>
          <w:color w:val="auto"/>
          <w:lang w:val="en-US" w:eastAsia="zh-CN"/>
        </w:rPr>
        <w:t>12. 2. 7</w:t>
      </w:r>
      <w:r>
        <w:rPr>
          <w:rFonts w:hint="eastAsia"/>
          <w:color w:val="auto"/>
        </w:rPr>
        <w:t>　</w:t>
      </w:r>
      <w:r>
        <w:rPr>
          <w:color w:val="auto"/>
          <w:lang w:eastAsia="zh-CN"/>
        </w:rPr>
        <w:t>预制舱与其他功能区域的火灾报警及其联动控制系统宜</w:t>
      </w:r>
      <w:r>
        <w:rPr>
          <w:rFonts w:hint="eastAsia"/>
          <w:color w:val="auto"/>
          <w:lang w:eastAsia="zh-CN"/>
        </w:rPr>
        <w:t>统一</w:t>
      </w:r>
      <w:r>
        <w:rPr>
          <w:color w:val="auto"/>
          <w:lang w:eastAsia="zh-CN"/>
        </w:rPr>
        <w:t>设置</w:t>
      </w:r>
      <w:r>
        <w:rPr>
          <w:rFonts w:hint="eastAsia"/>
          <w:color w:val="auto"/>
          <w:lang w:eastAsia="zh-CN"/>
        </w:rPr>
        <w:t>，</w:t>
      </w:r>
      <w:r>
        <w:rPr>
          <w:color w:val="auto"/>
          <w:lang w:eastAsia="zh-CN"/>
        </w:rPr>
        <w:t>火灾自动报警系统应符合</w:t>
      </w:r>
      <w:r>
        <w:rPr>
          <w:rFonts w:hint="eastAsia"/>
          <w:color w:val="auto"/>
          <w:lang w:eastAsia="zh-CN"/>
        </w:rPr>
        <w:t>现行国家标准</w:t>
      </w:r>
      <w:r>
        <w:rPr>
          <w:color w:val="auto"/>
          <w:lang w:eastAsia="zh-CN"/>
        </w:rPr>
        <w:t>《火灾自动报警系统设计规范》GB 50116、《</w:t>
      </w:r>
      <w:r>
        <w:rPr>
          <w:rFonts w:hint="eastAsia"/>
          <w:color w:val="auto"/>
          <w:lang w:eastAsia="zh-CN"/>
        </w:rPr>
        <w:t>火力发电厂与变电站设计防火标准</w:t>
      </w:r>
      <w:r>
        <w:rPr>
          <w:color w:val="auto"/>
          <w:lang w:eastAsia="zh-CN"/>
        </w:rPr>
        <w:t>》GB 50229和《消防设施通用规范》GB 55036的规定。</w:t>
      </w:r>
    </w:p>
    <w:p w14:paraId="7B03C827">
      <w:pPr>
        <w:pStyle w:val="29"/>
        <w:bidi w:val="0"/>
        <w:rPr>
          <w:color w:val="auto"/>
          <w:lang w:eastAsia="zh-CN"/>
        </w:rPr>
      </w:pPr>
      <w:r>
        <w:rPr>
          <w:rFonts w:hint="eastAsia"/>
          <w:b/>
          <w:bCs/>
          <w:color w:val="auto"/>
          <w:lang w:val="en-US" w:eastAsia="zh-CN"/>
        </w:rPr>
        <w:t>12. 2. 8</w:t>
      </w:r>
      <w:r>
        <w:rPr>
          <w:rFonts w:hint="eastAsia"/>
          <w:color w:val="auto"/>
        </w:rPr>
        <w:t>　</w:t>
      </w:r>
      <w:r>
        <w:rPr>
          <w:color w:val="auto"/>
          <w:lang w:eastAsia="zh-CN"/>
        </w:rPr>
        <w:t>预制舱舱体有管线穿越时，管线周围空隙应采用防火封堵材料封堵，防火封堵材料应符合</w:t>
      </w:r>
      <w:r>
        <w:rPr>
          <w:rFonts w:hint="eastAsia"/>
          <w:color w:val="auto"/>
          <w:lang w:eastAsia="zh-CN"/>
        </w:rPr>
        <w:t>《防火封堵材料》</w:t>
      </w:r>
      <w:r>
        <w:rPr>
          <w:color w:val="auto"/>
          <w:lang w:eastAsia="zh-CN"/>
        </w:rPr>
        <w:t xml:space="preserve">GB 23864 的规定。 </w:t>
      </w:r>
    </w:p>
    <w:p w14:paraId="288B0554">
      <w:pPr>
        <w:pStyle w:val="29"/>
        <w:bidi w:val="0"/>
        <w:rPr>
          <w:color w:val="auto"/>
          <w:lang w:eastAsia="zh-CN"/>
        </w:rPr>
      </w:pPr>
      <w:r>
        <w:rPr>
          <w:color w:val="auto"/>
          <w:lang w:eastAsia="zh-CN"/>
        </w:rPr>
        <w:t xml:space="preserve"> </w:t>
      </w:r>
      <w:r>
        <w:rPr>
          <w:rFonts w:hint="eastAsia"/>
          <w:b/>
          <w:bCs/>
          <w:color w:val="auto"/>
          <w:lang w:val="en-US" w:eastAsia="zh-CN"/>
        </w:rPr>
        <w:t>12. 2. 9</w:t>
      </w:r>
      <w:r>
        <w:rPr>
          <w:rFonts w:hint="eastAsia"/>
          <w:color w:val="auto"/>
        </w:rPr>
        <w:t>　</w:t>
      </w:r>
      <w:r>
        <w:rPr>
          <w:color w:val="auto"/>
          <w:lang w:eastAsia="zh-CN"/>
        </w:rPr>
        <w:t>步入式预制舱长度</w:t>
      </w:r>
      <w:r>
        <w:rPr>
          <w:rFonts w:hint="eastAsia"/>
          <w:color w:val="auto"/>
          <w:lang w:val="en-US" w:eastAsia="zh-CN"/>
        </w:rPr>
        <w:t>大于</w:t>
      </w:r>
      <w:r>
        <w:rPr>
          <w:color w:val="auto"/>
          <w:lang w:eastAsia="zh-CN"/>
        </w:rPr>
        <w:t>7m时，应在预制舱两端设置两个直通舱外的安全出口，外开安全门净宽度不小于0.9m，门锁应符合</w:t>
      </w:r>
      <w:r>
        <w:rPr>
          <w:rFonts w:hint="eastAsia"/>
          <w:color w:val="auto"/>
          <w:lang w:eastAsia="zh-CN"/>
        </w:rPr>
        <w:t>现行国家标准《推闩式逃生门锁通用技术要求》</w:t>
      </w:r>
      <w:r>
        <w:rPr>
          <w:color w:val="auto"/>
          <w:lang w:eastAsia="zh-CN"/>
        </w:rPr>
        <w:t xml:space="preserve">GB 30051的规定；设置门禁系统的，当发生火警时，疏散通道和出入口处的门禁应能集中联动解锁并能从内部手动解锁。 </w:t>
      </w:r>
    </w:p>
    <w:p w14:paraId="5F6BD2C4">
      <w:pPr>
        <w:pStyle w:val="29"/>
        <w:bidi w:val="0"/>
        <w:rPr>
          <w:color w:val="auto"/>
          <w:lang w:eastAsia="zh-CN"/>
        </w:rPr>
      </w:pPr>
      <w:r>
        <w:rPr>
          <w:rFonts w:hint="eastAsia"/>
          <w:b/>
          <w:bCs/>
          <w:color w:val="auto"/>
          <w:lang w:val="en-US" w:eastAsia="zh-CN"/>
        </w:rPr>
        <w:t>12. 2. 10</w:t>
      </w:r>
      <w:r>
        <w:rPr>
          <w:rFonts w:hint="eastAsia"/>
          <w:color w:val="auto"/>
        </w:rPr>
        <w:t>　</w:t>
      </w:r>
      <w:r>
        <w:rPr>
          <w:color w:val="auto"/>
          <w:lang w:eastAsia="zh-CN"/>
        </w:rPr>
        <w:t>空调系统、通风系统中的风管、风口、阀门等部件材料燃烧性能应符合</w:t>
      </w:r>
      <w:r>
        <w:rPr>
          <w:rFonts w:hint="eastAsia"/>
          <w:color w:val="auto"/>
          <w:lang w:eastAsia="zh-CN"/>
        </w:rPr>
        <w:t>现行国家标准</w:t>
      </w:r>
      <w:r>
        <w:rPr>
          <w:color w:val="auto"/>
          <w:lang w:eastAsia="zh-CN"/>
        </w:rPr>
        <w:t>《建筑材料及制品燃烧性能分级》GB 8624规定的A级。</w:t>
      </w:r>
    </w:p>
    <w:p w14:paraId="5D7DF09C">
      <w:pPr>
        <w:pStyle w:val="29"/>
        <w:bidi w:val="0"/>
        <w:rPr>
          <w:color w:val="auto"/>
          <w:lang w:eastAsia="zh-CN"/>
        </w:rPr>
      </w:pPr>
      <w:r>
        <w:rPr>
          <w:rFonts w:hint="eastAsia"/>
          <w:b/>
          <w:bCs/>
          <w:color w:val="auto"/>
          <w:lang w:val="en-US" w:eastAsia="zh-CN"/>
        </w:rPr>
        <w:t>12. 2. 11</w:t>
      </w:r>
      <w:r>
        <w:rPr>
          <w:rFonts w:hint="eastAsia"/>
          <w:color w:val="auto"/>
        </w:rPr>
        <w:t>　</w:t>
      </w:r>
      <w:r>
        <w:rPr>
          <w:color w:val="auto"/>
          <w:lang w:eastAsia="zh-CN"/>
        </w:rPr>
        <w:t>集装箱式预制舱的分类、尺寸等技术要求宜符合</w:t>
      </w:r>
      <w:r>
        <w:rPr>
          <w:rFonts w:hint="eastAsia"/>
          <w:color w:val="auto"/>
          <w:lang w:eastAsia="zh-CN"/>
        </w:rPr>
        <w:t>现行国家标准《系列1集装箱 分类、尺寸和额定质量》</w:t>
      </w:r>
      <w:r>
        <w:rPr>
          <w:color w:val="auto"/>
          <w:lang w:eastAsia="zh-CN"/>
        </w:rPr>
        <w:t>GB/T 1413的规定。</w:t>
      </w:r>
    </w:p>
    <w:p w14:paraId="06D1CA36">
      <w:pPr>
        <w:pStyle w:val="31"/>
        <w:bidi w:val="0"/>
        <w:outlineLvl w:val="1"/>
        <w:rPr>
          <w:color w:val="auto"/>
          <w:lang w:eastAsia="zh-CN"/>
        </w:rPr>
      </w:pPr>
      <w:bookmarkStart w:id="216" w:name="bookmark60"/>
      <w:bookmarkEnd w:id="216"/>
      <w:bookmarkStart w:id="217" w:name="_Toc10151"/>
      <w:bookmarkStart w:id="218" w:name="_Toc14860"/>
      <w:bookmarkStart w:id="219" w:name="_Toc28139"/>
      <w:bookmarkStart w:id="220" w:name="_Toc25077"/>
      <w:r>
        <w:rPr>
          <w:rFonts w:hint="eastAsia"/>
          <w:b/>
          <w:bCs/>
          <w:color w:val="auto"/>
          <w:lang w:val="en-US" w:eastAsia="zh-CN"/>
        </w:rPr>
        <w:t>12. 3</w:t>
      </w:r>
      <w:r>
        <w:rPr>
          <w:rFonts w:hint="eastAsia"/>
          <w:color w:val="auto"/>
        </w:rPr>
        <w:t>　</w:t>
      </w:r>
      <w:r>
        <w:rPr>
          <w:rFonts w:hint="eastAsia"/>
          <w:color w:val="auto"/>
          <w:lang w:eastAsia="zh-CN"/>
        </w:rPr>
        <w:t>变压器及其他带油电气设备</w:t>
      </w:r>
      <w:bookmarkEnd w:id="217"/>
      <w:bookmarkEnd w:id="218"/>
      <w:bookmarkEnd w:id="219"/>
      <w:bookmarkEnd w:id="220"/>
    </w:p>
    <w:p w14:paraId="642B4139">
      <w:pPr>
        <w:pStyle w:val="29"/>
        <w:bidi w:val="0"/>
        <w:rPr>
          <w:color w:val="auto"/>
          <w:lang w:eastAsia="zh-CN"/>
        </w:rPr>
      </w:pPr>
      <w:r>
        <w:rPr>
          <w:rFonts w:hint="eastAsia"/>
          <w:b/>
          <w:bCs/>
          <w:color w:val="auto"/>
          <w:lang w:val="en-US" w:eastAsia="zh-CN"/>
        </w:rPr>
        <w:t>12. 3. 1</w:t>
      </w:r>
      <w:r>
        <w:rPr>
          <w:rFonts w:hint="eastAsia"/>
          <w:color w:val="auto"/>
        </w:rPr>
        <w:t>　</w:t>
      </w:r>
      <w:r>
        <w:rPr>
          <w:rFonts w:hint="eastAsia"/>
          <w:color w:val="auto"/>
          <w:lang w:eastAsia="zh-CN"/>
        </w:rPr>
        <w:t>变压器及其他带油电气设备的消防设计除应符合</w:t>
      </w:r>
      <w:r>
        <w:rPr>
          <w:color w:val="auto"/>
          <w:lang w:eastAsia="zh-CN"/>
        </w:rPr>
        <w:t>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的规定，尚应符合电网反事故措施的相关要求</w:t>
      </w:r>
      <w:r>
        <w:rPr>
          <w:color w:val="auto"/>
          <w:lang w:eastAsia="zh-CN"/>
        </w:rPr>
        <w:t>。</w:t>
      </w:r>
    </w:p>
    <w:p w14:paraId="2E80FA52">
      <w:pPr>
        <w:pStyle w:val="31"/>
        <w:bidi w:val="0"/>
        <w:outlineLvl w:val="1"/>
        <w:rPr>
          <w:color w:val="auto"/>
          <w:lang w:eastAsia="zh-CN"/>
        </w:rPr>
      </w:pPr>
      <w:bookmarkStart w:id="221" w:name="bookmark61"/>
      <w:bookmarkEnd w:id="221"/>
      <w:bookmarkStart w:id="222" w:name="_Toc9743"/>
      <w:bookmarkStart w:id="223" w:name="_Toc29080"/>
      <w:bookmarkStart w:id="224" w:name="_Toc999"/>
      <w:r>
        <w:rPr>
          <w:rFonts w:hint="eastAsia"/>
          <w:b/>
          <w:bCs/>
          <w:color w:val="auto"/>
          <w:lang w:val="en-US" w:eastAsia="zh-CN"/>
        </w:rPr>
        <w:t>12. 4</w:t>
      </w:r>
      <w:r>
        <w:rPr>
          <w:rFonts w:hint="eastAsia"/>
          <w:color w:val="auto"/>
        </w:rPr>
        <w:t>　</w:t>
      </w:r>
      <w:r>
        <w:rPr>
          <w:rFonts w:hint="eastAsia"/>
          <w:color w:val="auto"/>
          <w:lang w:eastAsia="zh-CN"/>
        </w:rPr>
        <w:t>电</w:t>
      </w:r>
      <w:r>
        <w:rPr>
          <w:rFonts w:hint="eastAsia"/>
          <w:color w:val="auto"/>
          <w:lang w:val="en-US" w:eastAsia="zh-CN"/>
        </w:rPr>
        <w:t xml:space="preserve">    </w:t>
      </w:r>
      <w:r>
        <w:rPr>
          <w:rFonts w:hint="eastAsia"/>
          <w:color w:val="auto"/>
          <w:lang w:eastAsia="zh-CN"/>
        </w:rPr>
        <w:t>缆</w:t>
      </w:r>
      <w:bookmarkEnd w:id="222"/>
      <w:bookmarkEnd w:id="223"/>
      <w:bookmarkEnd w:id="224"/>
    </w:p>
    <w:p w14:paraId="3C629BFD">
      <w:pPr>
        <w:pStyle w:val="29"/>
        <w:bidi w:val="0"/>
        <w:rPr>
          <w:color w:val="auto"/>
          <w:lang w:eastAsia="zh-CN"/>
        </w:rPr>
      </w:pPr>
      <w:r>
        <w:rPr>
          <w:rFonts w:hint="eastAsia"/>
          <w:b/>
          <w:bCs/>
          <w:color w:val="auto"/>
          <w:lang w:val="en-US" w:eastAsia="zh-CN"/>
        </w:rPr>
        <w:t>12. 4. 1</w:t>
      </w:r>
      <w:r>
        <w:rPr>
          <w:rFonts w:hint="eastAsia"/>
          <w:color w:val="auto"/>
        </w:rPr>
        <w:t>　</w:t>
      </w:r>
      <w:r>
        <w:rPr>
          <w:rFonts w:hint="eastAsia"/>
          <w:color w:val="auto"/>
          <w:lang w:eastAsia="zh-CN"/>
        </w:rPr>
        <w:t>光伏电站电缆消防设计</w:t>
      </w:r>
      <w:r>
        <w:rPr>
          <w:color w:val="auto"/>
          <w:lang w:eastAsia="zh-CN"/>
        </w:rPr>
        <w:t>应符合现行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p>
    <w:p w14:paraId="36D037FC">
      <w:pPr>
        <w:pStyle w:val="31"/>
        <w:bidi w:val="0"/>
        <w:outlineLvl w:val="1"/>
        <w:rPr>
          <w:color w:val="auto"/>
          <w:lang w:eastAsia="zh-CN"/>
        </w:rPr>
      </w:pPr>
      <w:bookmarkStart w:id="225" w:name="bookmark62"/>
      <w:bookmarkEnd w:id="225"/>
      <w:bookmarkStart w:id="226" w:name="bookmark63"/>
      <w:bookmarkEnd w:id="226"/>
      <w:bookmarkStart w:id="227" w:name="_Toc16266"/>
      <w:bookmarkStart w:id="228" w:name="_Toc27599"/>
      <w:bookmarkStart w:id="229" w:name="_Toc20921"/>
      <w:r>
        <w:rPr>
          <w:rFonts w:hint="eastAsia"/>
          <w:b/>
          <w:bCs/>
          <w:color w:val="auto"/>
          <w:lang w:val="en-US" w:eastAsia="zh-CN"/>
        </w:rPr>
        <w:t>12. 5</w:t>
      </w:r>
      <w:r>
        <w:rPr>
          <w:rFonts w:hint="eastAsia"/>
          <w:color w:val="auto"/>
        </w:rPr>
        <w:t>　</w:t>
      </w:r>
      <w:r>
        <w:rPr>
          <w:rFonts w:hint="eastAsia"/>
          <w:color w:val="auto"/>
          <w:lang w:eastAsia="zh-CN"/>
        </w:rPr>
        <w:t>消防给水、灭火设施及火灾自动报警</w:t>
      </w:r>
      <w:bookmarkEnd w:id="227"/>
      <w:bookmarkEnd w:id="228"/>
      <w:bookmarkEnd w:id="229"/>
    </w:p>
    <w:p w14:paraId="6DBB6528">
      <w:pPr>
        <w:pStyle w:val="29"/>
        <w:bidi w:val="0"/>
        <w:rPr>
          <w:color w:val="auto"/>
          <w:lang w:eastAsia="zh-CN"/>
        </w:rPr>
      </w:pPr>
      <w:r>
        <w:rPr>
          <w:rFonts w:hint="eastAsia"/>
          <w:b/>
          <w:bCs/>
          <w:color w:val="auto"/>
          <w:lang w:val="en-US" w:eastAsia="zh-CN"/>
        </w:rPr>
        <w:t>12. 5. 1</w:t>
      </w:r>
      <w:r>
        <w:rPr>
          <w:rFonts w:hint="eastAsia"/>
          <w:color w:val="auto"/>
        </w:rPr>
        <w:t>　</w:t>
      </w:r>
      <w:r>
        <w:rPr>
          <w:color w:val="auto"/>
          <w:lang w:eastAsia="zh-CN"/>
        </w:rPr>
        <w:t>光伏电站</w:t>
      </w:r>
      <w:r>
        <w:rPr>
          <w:rFonts w:hint="eastAsia"/>
          <w:color w:val="auto"/>
          <w:lang w:eastAsia="zh-CN"/>
        </w:rPr>
        <w:t>消防给水、灭火设施及火灾自动报警设计</w:t>
      </w:r>
      <w:r>
        <w:rPr>
          <w:color w:val="auto"/>
          <w:lang w:eastAsia="zh-CN"/>
        </w:rPr>
        <w:t>应符合现行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r>
        <w:rPr>
          <w:color w:val="auto"/>
          <w:lang w:eastAsia="zh-CN"/>
        </w:rPr>
        <w:t>电化学储能设施的消防设施设计</w:t>
      </w:r>
      <w:r>
        <w:rPr>
          <w:rFonts w:hint="eastAsia"/>
          <w:color w:val="auto"/>
          <w:lang w:eastAsia="zh-CN"/>
        </w:rPr>
        <w:t>尚</w:t>
      </w:r>
      <w:r>
        <w:rPr>
          <w:color w:val="auto"/>
          <w:lang w:eastAsia="zh-CN"/>
        </w:rPr>
        <w:t xml:space="preserve">应符合现行国家标准《电化学储能电站设计规范》GB </w:t>
      </w:r>
      <w:r>
        <w:rPr>
          <w:rFonts w:hint="eastAsia"/>
          <w:color w:val="auto"/>
          <w:lang w:val="en-US" w:eastAsia="zh-CN"/>
        </w:rPr>
        <w:t xml:space="preserve"> </w:t>
      </w:r>
      <w:r>
        <w:rPr>
          <w:color w:val="auto"/>
          <w:lang w:eastAsia="zh-CN"/>
        </w:rPr>
        <w:t>51048的规定。</w:t>
      </w:r>
    </w:p>
    <w:p w14:paraId="51CA75AE">
      <w:pPr>
        <w:pStyle w:val="31"/>
        <w:bidi w:val="0"/>
        <w:outlineLvl w:val="1"/>
        <w:rPr>
          <w:color w:val="auto"/>
          <w:lang w:eastAsia="zh-CN"/>
        </w:rPr>
      </w:pPr>
      <w:bookmarkStart w:id="230" w:name="bookmark64"/>
      <w:bookmarkEnd w:id="230"/>
      <w:bookmarkStart w:id="231" w:name="_Toc26957"/>
      <w:bookmarkStart w:id="232" w:name="_Toc17302"/>
      <w:bookmarkStart w:id="233" w:name="_Toc29300"/>
      <w:bookmarkStart w:id="234" w:name="_Toc2804"/>
      <w:r>
        <w:rPr>
          <w:rFonts w:hint="eastAsia"/>
          <w:b/>
          <w:bCs/>
          <w:color w:val="auto"/>
          <w:lang w:val="en-US" w:eastAsia="zh-CN"/>
        </w:rPr>
        <w:t>12. 6</w:t>
      </w:r>
      <w:r>
        <w:rPr>
          <w:rFonts w:hint="eastAsia"/>
          <w:color w:val="auto"/>
        </w:rPr>
        <w:t>　</w:t>
      </w:r>
      <w:r>
        <w:rPr>
          <w:rFonts w:hint="eastAsia"/>
          <w:color w:val="auto"/>
          <w:lang w:eastAsia="zh-CN"/>
        </w:rPr>
        <w:t>消防供电及应急照明</w:t>
      </w:r>
      <w:bookmarkEnd w:id="231"/>
      <w:bookmarkEnd w:id="232"/>
      <w:bookmarkEnd w:id="233"/>
      <w:bookmarkEnd w:id="234"/>
    </w:p>
    <w:p w14:paraId="00B452B6">
      <w:pPr>
        <w:pStyle w:val="29"/>
        <w:bidi w:val="0"/>
        <w:rPr>
          <w:rFonts w:hint="eastAsia"/>
          <w:color w:val="auto"/>
          <w:lang w:eastAsia="zh-CN"/>
        </w:rPr>
      </w:pPr>
      <w:r>
        <w:rPr>
          <w:rFonts w:hint="eastAsia"/>
          <w:b/>
          <w:bCs/>
          <w:color w:val="auto"/>
          <w:lang w:val="en-US" w:eastAsia="zh-CN"/>
        </w:rPr>
        <w:t>12. 6. 1</w:t>
      </w:r>
      <w:r>
        <w:rPr>
          <w:rFonts w:hint="eastAsia"/>
          <w:color w:val="auto"/>
        </w:rPr>
        <w:t>　</w:t>
      </w:r>
      <w:r>
        <w:rPr>
          <w:color w:val="auto"/>
          <w:lang w:eastAsia="zh-CN"/>
        </w:rPr>
        <w:t>光伏电站的消防供电</w:t>
      </w:r>
      <w:r>
        <w:rPr>
          <w:rFonts w:hint="eastAsia"/>
          <w:color w:val="auto"/>
          <w:lang w:eastAsia="zh-CN"/>
        </w:rPr>
        <w:t>及应急照明设计</w:t>
      </w:r>
      <w:r>
        <w:rPr>
          <w:color w:val="auto"/>
          <w:lang w:eastAsia="zh-CN"/>
        </w:rPr>
        <w:t>应符合现行</w:t>
      </w:r>
      <w:r>
        <w:rPr>
          <w:rFonts w:hint="eastAsia"/>
          <w:color w:val="auto"/>
          <w:lang w:eastAsia="zh-CN"/>
        </w:rPr>
        <w:t>国家标准</w:t>
      </w:r>
      <w:r>
        <w:rPr>
          <w:color w:val="auto"/>
          <w:lang w:eastAsia="zh-CN"/>
        </w:rPr>
        <w:t>《</w:t>
      </w:r>
      <w:r>
        <w:rPr>
          <w:rFonts w:hint="eastAsia"/>
          <w:color w:val="auto"/>
          <w:lang w:eastAsia="zh-CN"/>
        </w:rPr>
        <w:t>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p>
    <w:p w14:paraId="08B5306F">
      <w:pPr>
        <w:pStyle w:val="29"/>
        <w:bidi w:val="0"/>
        <w:rPr>
          <w:rFonts w:hint="eastAsia"/>
          <w:color w:val="auto"/>
          <w:lang w:eastAsia="zh-CN"/>
        </w:rPr>
      </w:pPr>
    </w:p>
    <w:p w14:paraId="664F05AF">
      <w:pPr>
        <w:pStyle w:val="29"/>
        <w:bidi w:val="0"/>
        <w:rPr>
          <w:rFonts w:hint="eastAsia"/>
          <w:color w:val="auto"/>
          <w:lang w:eastAsia="zh-CN"/>
        </w:rPr>
      </w:pPr>
    </w:p>
    <w:p w14:paraId="1D8C3950">
      <w:pPr>
        <w:pStyle w:val="29"/>
        <w:bidi w:val="0"/>
        <w:rPr>
          <w:rFonts w:hint="eastAsia"/>
          <w:color w:val="auto"/>
          <w:lang w:eastAsia="zh-CN"/>
        </w:rPr>
      </w:pPr>
    </w:p>
    <w:p w14:paraId="13E43FEA">
      <w:pPr>
        <w:pStyle w:val="29"/>
        <w:bidi w:val="0"/>
        <w:rPr>
          <w:rFonts w:hint="eastAsia"/>
          <w:color w:val="auto"/>
          <w:lang w:eastAsia="zh-CN"/>
        </w:rPr>
      </w:pPr>
    </w:p>
    <w:p w14:paraId="689B9C5A">
      <w:pPr>
        <w:pStyle w:val="29"/>
        <w:bidi w:val="0"/>
        <w:rPr>
          <w:rFonts w:hint="eastAsia"/>
          <w:color w:val="auto"/>
          <w:lang w:eastAsia="zh-CN"/>
        </w:rPr>
      </w:pPr>
    </w:p>
    <w:p w14:paraId="4977F4CD">
      <w:pPr>
        <w:pStyle w:val="29"/>
        <w:bidi w:val="0"/>
        <w:rPr>
          <w:rFonts w:hint="eastAsia"/>
          <w:color w:val="auto"/>
          <w:lang w:eastAsia="zh-CN"/>
        </w:rPr>
      </w:pPr>
    </w:p>
    <w:p w14:paraId="5A886A12">
      <w:pPr>
        <w:pStyle w:val="29"/>
        <w:bidi w:val="0"/>
        <w:rPr>
          <w:rFonts w:hint="eastAsia"/>
          <w:color w:val="auto"/>
          <w:lang w:eastAsia="zh-CN"/>
        </w:rPr>
      </w:pPr>
    </w:p>
    <w:p w14:paraId="629F5541">
      <w:pPr>
        <w:pStyle w:val="29"/>
        <w:bidi w:val="0"/>
        <w:rPr>
          <w:rFonts w:hint="eastAsia"/>
          <w:color w:val="auto"/>
          <w:lang w:eastAsia="zh-CN"/>
        </w:rPr>
      </w:pPr>
    </w:p>
    <w:p w14:paraId="3858518F">
      <w:pPr>
        <w:pStyle w:val="29"/>
        <w:bidi w:val="0"/>
        <w:rPr>
          <w:rFonts w:hint="eastAsia"/>
          <w:color w:val="auto"/>
          <w:lang w:eastAsia="zh-CN"/>
        </w:rPr>
      </w:pPr>
    </w:p>
    <w:p w14:paraId="14EAA2ED">
      <w:pPr>
        <w:pStyle w:val="29"/>
        <w:bidi w:val="0"/>
        <w:rPr>
          <w:rFonts w:hint="eastAsia"/>
          <w:color w:val="auto"/>
          <w:lang w:eastAsia="zh-CN"/>
        </w:rPr>
      </w:pPr>
    </w:p>
    <w:p w14:paraId="34130D30">
      <w:pPr>
        <w:pStyle w:val="29"/>
        <w:bidi w:val="0"/>
        <w:rPr>
          <w:rFonts w:hint="eastAsia"/>
          <w:color w:val="auto"/>
          <w:lang w:eastAsia="zh-CN"/>
        </w:rPr>
      </w:pPr>
    </w:p>
    <w:p w14:paraId="7ECF14BD">
      <w:pPr>
        <w:pStyle w:val="29"/>
        <w:bidi w:val="0"/>
        <w:rPr>
          <w:rFonts w:hint="eastAsia"/>
          <w:color w:val="auto"/>
          <w:lang w:eastAsia="zh-CN"/>
        </w:rPr>
      </w:pPr>
    </w:p>
    <w:p w14:paraId="16589190">
      <w:pPr>
        <w:pStyle w:val="29"/>
        <w:bidi w:val="0"/>
        <w:rPr>
          <w:rFonts w:hint="eastAsia"/>
          <w:color w:val="auto"/>
          <w:lang w:eastAsia="zh-CN"/>
        </w:rPr>
      </w:pPr>
    </w:p>
    <w:p w14:paraId="4DDF4444">
      <w:pPr>
        <w:pStyle w:val="3"/>
        <w:pageBreakBefore w:val="0"/>
        <w:widowControl w:val="0"/>
        <w:topLinePunct w:val="0"/>
        <w:bidi w:val="0"/>
        <w:jc w:val="both"/>
        <w:rPr>
          <w:rFonts w:hint="default"/>
          <w:color w:val="auto"/>
          <w:highlight w:val="none"/>
          <w:lang w:eastAsia="zh-CN"/>
        </w:rPr>
      </w:pPr>
    </w:p>
    <w:p w14:paraId="090DC839">
      <w:pPr>
        <w:pStyle w:val="30"/>
        <w:bidi w:val="0"/>
        <w:rPr>
          <w:rFonts w:hint="eastAsia"/>
          <w:color w:val="auto"/>
          <w:lang w:eastAsia="zh-CN"/>
        </w:rPr>
      </w:pPr>
      <w:bookmarkStart w:id="235" w:name="bookmark177"/>
      <w:bookmarkEnd w:id="235"/>
      <w:bookmarkStart w:id="236" w:name="bookmark53"/>
      <w:bookmarkEnd w:id="236"/>
      <w:bookmarkStart w:id="237" w:name="_Toc25502"/>
      <w:bookmarkStart w:id="238" w:name="_Toc15145"/>
    </w:p>
    <w:p w14:paraId="2A4D3783">
      <w:pPr>
        <w:pStyle w:val="30"/>
        <w:bidi w:val="0"/>
        <w:rPr>
          <w:rFonts w:hint="eastAsia"/>
          <w:color w:val="auto"/>
          <w:lang w:eastAsia="zh-CN"/>
        </w:rPr>
      </w:pPr>
    </w:p>
    <w:p w14:paraId="7301B81A">
      <w:pPr>
        <w:pStyle w:val="30"/>
        <w:bidi w:val="0"/>
        <w:outlineLvl w:val="0"/>
        <w:rPr>
          <w:color w:val="auto"/>
          <w:lang w:eastAsia="zh-CN"/>
        </w:rPr>
      </w:pPr>
      <w:bookmarkStart w:id="239" w:name="_Toc1173"/>
      <w:bookmarkStart w:id="240" w:name="_Toc5551"/>
      <w:r>
        <w:rPr>
          <w:rFonts w:hint="eastAsia"/>
          <w:b/>
          <w:bCs/>
          <w:color w:val="auto"/>
          <w:lang w:val="en-US" w:eastAsia="zh-CN"/>
        </w:rPr>
        <w:t>13</w:t>
      </w:r>
      <w:r>
        <w:rPr>
          <w:rFonts w:hint="eastAsia"/>
          <w:color w:val="auto"/>
        </w:rPr>
        <w:t>　</w:t>
      </w:r>
      <w:r>
        <w:rPr>
          <w:rFonts w:hint="eastAsia"/>
          <w:color w:val="auto"/>
          <w:lang w:eastAsia="zh-CN"/>
        </w:rPr>
        <w:t>环境保护与水土保持</w:t>
      </w:r>
      <w:bookmarkEnd w:id="237"/>
      <w:bookmarkEnd w:id="238"/>
      <w:bookmarkEnd w:id="239"/>
      <w:bookmarkEnd w:id="240"/>
    </w:p>
    <w:p w14:paraId="4D98CBAB">
      <w:pPr>
        <w:pStyle w:val="31"/>
        <w:bidi w:val="0"/>
        <w:outlineLvl w:val="1"/>
        <w:rPr>
          <w:color w:val="auto"/>
          <w:lang w:eastAsia="zh-CN"/>
        </w:rPr>
      </w:pPr>
      <w:bookmarkStart w:id="241" w:name="bookmark54"/>
      <w:bookmarkEnd w:id="241"/>
      <w:bookmarkStart w:id="242" w:name="_Toc17109"/>
      <w:bookmarkStart w:id="243" w:name="_Toc26139"/>
      <w:bookmarkStart w:id="244" w:name="_Toc5238"/>
      <w:bookmarkStart w:id="245" w:name="_Toc16655"/>
      <w:r>
        <w:rPr>
          <w:rFonts w:hint="eastAsia"/>
          <w:b/>
          <w:bCs/>
          <w:color w:val="auto"/>
          <w:lang w:val="en-US" w:eastAsia="zh-CN"/>
        </w:rPr>
        <w:t>13. 1</w:t>
      </w:r>
      <w:r>
        <w:rPr>
          <w:rFonts w:hint="eastAsia"/>
          <w:color w:val="auto"/>
        </w:rPr>
        <w:t>　</w:t>
      </w:r>
      <w:r>
        <w:rPr>
          <w:rFonts w:hint="eastAsia"/>
          <w:color w:val="auto"/>
          <w:lang w:eastAsia="zh-CN"/>
        </w:rPr>
        <w:t>一般规定</w:t>
      </w:r>
      <w:bookmarkEnd w:id="242"/>
      <w:bookmarkEnd w:id="243"/>
      <w:bookmarkEnd w:id="244"/>
      <w:bookmarkEnd w:id="245"/>
    </w:p>
    <w:p w14:paraId="00B9ACCC">
      <w:pPr>
        <w:pStyle w:val="29"/>
        <w:bidi w:val="0"/>
        <w:rPr>
          <w:color w:val="auto"/>
          <w:lang w:eastAsia="zh-CN"/>
        </w:rPr>
      </w:pPr>
      <w:r>
        <w:rPr>
          <w:rFonts w:hint="eastAsia"/>
          <w:b/>
          <w:bCs/>
          <w:color w:val="auto"/>
          <w:lang w:val="en-US" w:eastAsia="zh-CN"/>
        </w:rPr>
        <w:t>13. 1. 1</w:t>
      </w:r>
      <w:r>
        <w:rPr>
          <w:rFonts w:hint="eastAsia"/>
          <w:color w:val="auto"/>
        </w:rPr>
        <w:t>　</w:t>
      </w:r>
      <w:r>
        <w:rPr>
          <w:rFonts w:hint="eastAsia"/>
          <w:color w:val="auto"/>
          <w:lang w:eastAsia="zh-CN"/>
        </w:rPr>
        <w:t>光伏电站的环境保护和水土保持设计应贯彻执行国家和云南省颁布的环境保护和水土保持法律、法规、标准、行政规章、环境保护规划及规范性文件。</w:t>
      </w:r>
    </w:p>
    <w:p w14:paraId="6A80500F">
      <w:pPr>
        <w:pStyle w:val="29"/>
        <w:bidi w:val="0"/>
        <w:rPr>
          <w:color w:val="auto"/>
          <w:lang w:eastAsia="zh-CN"/>
        </w:rPr>
      </w:pPr>
      <w:r>
        <w:rPr>
          <w:rFonts w:hint="eastAsia"/>
          <w:b/>
          <w:bCs/>
          <w:color w:val="auto"/>
          <w:lang w:val="en-US" w:eastAsia="zh-CN"/>
        </w:rPr>
        <w:t>13. 1. 2</w:t>
      </w:r>
      <w:r>
        <w:rPr>
          <w:rFonts w:hint="eastAsia"/>
          <w:color w:val="auto"/>
        </w:rPr>
        <w:t>　</w:t>
      </w:r>
      <w:r>
        <w:rPr>
          <w:rFonts w:hint="eastAsia"/>
          <w:color w:val="auto"/>
          <w:lang w:eastAsia="zh-CN"/>
        </w:rPr>
        <w:t>光伏电站的环境保护设计应贯彻国家产业政策和发展循环经济及节能减排的要求，采用清洁生产工艺，对产生的各项污染物及生态环境影响应采取防治措施。</w:t>
      </w:r>
    </w:p>
    <w:p w14:paraId="57CF50B0">
      <w:pPr>
        <w:pStyle w:val="29"/>
        <w:bidi w:val="0"/>
        <w:rPr>
          <w:color w:val="auto"/>
          <w:lang w:eastAsia="zh-CN"/>
        </w:rPr>
      </w:pPr>
      <w:r>
        <w:rPr>
          <w:rFonts w:hint="eastAsia"/>
          <w:b/>
          <w:bCs/>
          <w:color w:val="auto"/>
          <w:lang w:val="en-US" w:eastAsia="zh-CN"/>
        </w:rPr>
        <w:t>13. 1. 3</w:t>
      </w:r>
      <w:r>
        <w:rPr>
          <w:rFonts w:hint="eastAsia"/>
          <w:color w:val="auto"/>
        </w:rPr>
        <w:t>　</w:t>
      </w:r>
      <w:r>
        <w:rPr>
          <w:rFonts w:hint="eastAsia"/>
          <w:color w:val="auto"/>
          <w:lang w:eastAsia="zh-CN"/>
        </w:rPr>
        <w:t>光伏电站应根据国家和云南省环境保护行政主管部门的要求进行环境影响评价。</w:t>
      </w:r>
    </w:p>
    <w:p w14:paraId="58EB7B7C">
      <w:pPr>
        <w:pStyle w:val="29"/>
        <w:bidi w:val="0"/>
        <w:rPr>
          <w:color w:val="auto"/>
          <w:lang w:eastAsia="zh-CN"/>
        </w:rPr>
      </w:pPr>
      <w:r>
        <w:rPr>
          <w:rFonts w:hint="eastAsia"/>
          <w:b/>
          <w:bCs/>
          <w:color w:val="auto"/>
          <w:lang w:val="en-US" w:eastAsia="zh-CN"/>
        </w:rPr>
        <w:t>13. 1. 4</w:t>
      </w:r>
      <w:r>
        <w:rPr>
          <w:rFonts w:hint="eastAsia"/>
          <w:color w:val="auto"/>
        </w:rPr>
        <w:t>　</w:t>
      </w:r>
      <w:r>
        <w:rPr>
          <w:rFonts w:hint="eastAsia"/>
          <w:color w:val="auto"/>
          <w:lang w:eastAsia="zh-CN"/>
        </w:rPr>
        <w:t>光伏电站的环境保护设计方案应以批复的环境影响报告书（表）为依据。</w:t>
      </w:r>
    </w:p>
    <w:p w14:paraId="4A2DAF89">
      <w:pPr>
        <w:pStyle w:val="29"/>
        <w:bidi w:val="0"/>
        <w:rPr>
          <w:color w:val="auto"/>
          <w:lang w:eastAsia="zh-CN"/>
        </w:rPr>
      </w:pPr>
      <w:r>
        <w:rPr>
          <w:rFonts w:hint="eastAsia"/>
          <w:b/>
          <w:bCs/>
          <w:color w:val="auto"/>
          <w:lang w:val="en-US" w:eastAsia="zh-CN"/>
        </w:rPr>
        <w:t>13. 1. 5</w:t>
      </w:r>
      <w:r>
        <w:rPr>
          <w:rFonts w:hint="eastAsia"/>
          <w:color w:val="auto"/>
        </w:rPr>
        <w:t>　</w:t>
      </w:r>
      <w:r>
        <w:rPr>
          <w:rFonts w:hint="eastAsia"/>
          <w:color w:val="auto"/>
          <w:lang w:eastAsia="zh-CN"/>
        </w:rPr>
        <w:t>各污染物的处理应选用资源利用率高、污染物排放量少的设备和工艺，对处理过程中产生的二次污染应采取相应的治理措施。</w:t>
      </w:r>
    </w:p>
    <w:p w14:paraId="6B75F1D2">
      <w:pPr>
        <w:pStyle w:val="31"/>
        <w:bidi w:val="0"/>
        <w:outlineLvl w:val="1"/>
        <w:rPr>
          <w:color w:val="auto"/>
          <w:lang w:eastAsia="zh-CN"/>
        </w:rPr>
      </w:pPr>
      <w:bookmarkStart w:id="246" w:name="bookmark55"/>
      <w:bookmarkEnd w:id="246"/>
      <w:bookmarkStart w:id="247" w:name="_Toc18824"/>
      <w:bookmarkStart w:id="248" w:name="_Toc27861"/>
      <w:bookmarkStart w:id="249" w:name="_Toc6993"/>
      <w:r>
        <w:rPr>
          <w:rFonts w:hint="eastAsia"/>
          <w:b/>
          <w:bCs/>
          <w:color w:val="auto"/>
          <w:lang w:val="en-US" w:eastAsia="zh-CN"/>
        </w:rPr>
        <w:t>13. 2</w:t>
      </w:r>
      <w:r>
        <w:rPr>
          <w:rFonts w:hint="eastAsia"/>
          <w:color w:val="auto"/>
        </w:rPr>
        <w:t>　</w:t>
      </w:r>
      <w:r>
        <w:rPr>
          <w:rFonts w:hint="eastAsia"/>
          <w:color w:val="auto"/>
          <w:lang w:eastAsia="zh-CN"/>
        </w:rPr>
        <w:t>环境保护</w:t>
      </w:r>
      <w:bookmarkEnd w:id="247"/>
      <w:bookmarkEnd w:id="248"/>
      <w:bookmarkEnd w:id="249"/>
    </w:p>
    <w:p w14:paraId="123A3270">
      <w:pPr>
        <w:pStyle w:val="29"/>
        <w:bidi w:val="0"/>
        <w:rPr>
          <w:color w:val="auto"/>
          <w:lang w:eastAsia="zh-CN"/>
        </w:rPr>
      </w:pPr>
      <w:r>
        <w:rPr>
          <w:rFonts w:hint="eastAsia"/>
          <w:b/>
          <w:bCs/>
          <w:color w:val="auto"/>
          <w:lang w:val="en-US" w:eastAsia="zh-CN"/>
        </w:rPr>
        <w:t>13. 2. 1</w:t>
      </w:r>
      <w:r>
        <w:rPr>
          <w:rFonts w:hint="eastAsia"/>
          <w:color w:val="auto"/>
        </w:rPr>
        <w:t>　</w:t>
      </w:r>
      <w:r>
        <w:rPr>
          <w:rFonts w:hint="eastAsia"/>
          <w:color w:val="auto"/>
          <w:lang w:eastAsia="zh-CN"/>
        </w:rPr>
        <w:t>光伏电站生活污水有条件的应集中排入站址所在地区的市政污水处理系统统一处理；没有条件的应在站内收集处理，处理后宜综合利用，需要排放的排放标准应符合现行国家标准《污水综合排放标准》G</w:t>
      </w:r>
      <w:r>
        <w:rPr>
          <w:color w:val="auto"/>
          <w:lang w:eastAsia="zh-CN"/>
        </w:rPr>
        <w:t>B</w:t>
      </w:r>
      <w:r>
        <w:rPr>
          <w:rFonts w:hint="eastAsia"/>
          <w:color w:val="auto"/>
          <w:lang w:val="en-US" w:eastAsia="zh-CN"/>
        </w:rPr>
        <w:t xml:space="preserve"> </w:t>
      </w:r>
      <w:r>
        <w:rPr>
          <w:color w:val="auto"/>
          <w:lang w:eastAsia="zh-CN"/>
        </w:rPr>
        <w:t>8978</w:t>
      </w:r>
      <w:r>
        <w:rPr>
          <w:rFonts w:hint="eastAsia"/>
          <w:color w:val="auto"/>
          <w:lang w:eastAsia="zh-CN"/>
        </w:rPr>
        <w:t>和当地地方标准的规定。</w:t>
      </w:r>
    </w:p>
    <w:p w14:paraId="3A1EC5B6">
      <w:pPr>
        <w:pStyle w:val="29"/>
        <w:bidi w:val="0"/>
        <w:rPr>
          <w:color w:val="auto"/>
          <w:lang w:eastAsia="zh-CN"/>
        </w:rPr>
      </w:pPr>
      <w:r>
        <w:rPr>
          <w:rFonts w:hint="eastAsia"/>
          <w:b/>
          <w:bCs/>
          <w:color w:val="auto"/>
          <w:lang w:val="en-US" w:eastAsia="zh-CN"/>
        </w:rPr>
        <w:t>13. 2. 2</w:t>
      </w:r>
      <w:r>
        <w:rPr>
          <w:rFonts w:hint="eastAsia"/>
          <w:color w:val="auto"/>
        </w:rPr>
        <w:t>　</w:t>
      </w:r>
      <w:r>
        <w:rPr>
          <w:rFonts w:hint="eastAsia"/>
          <w:color w:val="auto"/>
          <w:lang w:eastAsia="zh-CN"/>
        </w:rPr>
        <w:t>光伏电站污水排放口的设置应满足云南省</w:t>
      </w:r>
      <w:bookmarkStart w:id="250" w:name="OLE_LINK12"/>
      <w:bookmarkStart w:id="251" w:name="OLE_LINK11"/>
      <w:r>
        <w:rPr>
          <w:rFonts w:hint="eastAsia"/>
          <w:color w:val="auto"/>
          <w:lang w:eastAsia="zh-CN"/>
        </w:rPr>
        <w:t>环境保护标准</w:t>
      </w:r>
      <w:bookmarkEnd w:id="250"/>
      <w:bookmarkEnd w:id="251"/>
      <w:r>
        <w:rPr>
          <w:rFonts w:hint="eastAsia"/>
          <w:color w:val="auto"/>
          <w:lang w:eastAsia="zh-CN"/>
        </w:rPr>
        <w:t>的要求。</w:t>
      </w:r>
    </w:p>
    <w:p w14:paraId="4C906E6A">
      <w:pPr>
        <w:pStyle w:val="29"/>
        <w:bidi w:val="0"/>
        <w:rPr>
          <w:color w:val="auto"/>
          <w:lang w:eastAsia="zh-CN"/>
        </w:rPr>
      </w:pPr>
      <w:r>
        <w:rPr>
          <w:rFonts w:hint="eastAsia"/>
          <w:b/>
          <w:bCs/>
          <w:color w:val="auto"/>
          <w:lang w:val="en-US" w:eastAsia="zh-CN"/>
        </w:rPr>
        <w:t>13. 2. 3</w:t>
      </w:r>
      <w:r>
        <w:rPr>
          <w:rFonts w:hint="eastAsia"/>
          <w:color w:val="auto"/>
        </w:rPr>
        <w:t>　</w:t>
      </w:r>
      <w:r>
        <w:rPr>
          <w:color w:val="auto"/>
          <w:lang w:eastAsia="zh-CN"/>
        </w:rPr>
        <w:t>油浸式箱式变压器单台油量</w:t>
      </w:r>
      <w:r>
        <w:rPr>
          <w:rFonts w:hint="eastAsia"/>
          <w:color w:val="auto"/>
          <w:lang w:val="en-US" w:eastAsia="zh-CN"/>
        </w:rPr>
        <w:t>≥</w:t>
      </w:r>
      <w:r>
        <w:rPr>
          <w:color w:val="auto"/>
          <w:lang w:eastAsia="zh-CN"/>
        </w:rPr>
        <w:t>1000kg时，应设置贮油池（坑），集油池容积应按贮存最大一台充油设备100%的油量确定。集油坑</w:t>
      </w:r>
      <w:r>
        <w:rPr>
          <w:rFonts w:hint="eastAsia"/>
          <w:color w:val="auto"/>
          <w:lang w:eastAsia="zh-CN"/>
        </w:rPr>
        <w:t>应</w:t>
      </w:r>
      <w:r>
        <w:rPr>
          <w:color w:val="auto"/>
          <w:lang w:eastAsia="zh-CN"/>
        </w:rPr>
        <w:t>按《</w:t>
      </w:r>
      <w:r>
        <w:rPr>
          <w:rFonts w:hint="eastAsia"/>
          <w:color w:val="auto"/>
          <w:lang w:eastAsia="zh-CN"/>
        </w:rPr>
        <w:t>危险废物贮存污染控制标准</w:t>
      </w:r>
      <w:r>
        <w:rPr>
          <w:color w:val="auto"/>
          <w:lang w:eastAsia="zh-CN"/>
        </w:rPr>
        <w:t>》</w:t>
      </w:r>
      <w:r>
        <w:rPr>
          <w:rFonts w:hint="eastAsia"/>
          <w:color w:val="auto"/>
          <w:lang w:eastAsia="zh-CN"/>
        </w:rPr>
        <w:t>G</w:t>
      </w:r>
      <w:r>
        <w:rPr>
          <w:color w:val="auto"/>
          <w:lang w:eastAsia="zh-CN"/>
        </w:rPr>
        <w:t>B</w:t>
      </w:r>
      <w:r>
        <w:rPr>
          <w:rFonts w:hint="eastAsia"/>
          <w:color w:val="auto"/>
          <w:lang w:val="en-US" w:eastAsia="zh-CN"/>
        </w:rPr>
        <w:t xml:space="preserve"> </w:t>
      </w:r>
      <w:r>
        <w:rPr>
          <w:color w:val="auto"/>
          <w:lang w:eastAsia="zh-CN"/>
        </w:rPr>
        <w:t>18597进行防渗处理。</w:t>
      </w:r>
    </w:p>
    <w:p w14:paraId="1CF100B3">
      <w:pPr>
        <w:pStyle w:val="29"/>
        <w:bidi w:val="0"/>
        <w:rPr>
          <w:color w:val="auto"/>
          <w:lang w:eastAsia="zh-CN"/>
        </w:rPr>
      </w:pPr>
      <w:r>
        <w:rPr>
          <w:rFonts w:hint="eastAsia"/>
          <w:b/>
          <w:bCs/>
          <w:color w:val="auto"/>
          <w:lang w:val="en-US" w:eastAsia="zh-CN"/>
        </w:rPr>
        <w:t>13. 2. 4</w:t>
      </w:r>
      <w:r>
        <w:rPr>
          <w:rFonts w:hint="eastAsia"/>
          <w:color w:val="auto"/>
        </w:rPr>
        <w:t>　</w:t>
      </w:r>
      <w:r>
        <w:rPr>
          <w:rFonts w:hint="eastAsia"/>
          <w:color w:val="auto"/>
          <w:lang w:eastAsia="zh-CN"/>
        </w:rPr>
        <w:t>固废间固废区与化废区应分隔，室内应设排水沟和集水坑，室内地面、排水沟、集水坑应</w:t>
      </w:r>
      <w:r>
        <w:rPr>
          <w:color w:val="auto"/>
          <w:lang w:eastAsia="zh-CN"/>
        </w:rPr>
        <w:t>按《危险废物贮存污染控制标准》</w:t>
      </w:r>
      <w:r>
        <w:rPr>
          <w:rFonts w:hint="eastAsia"/>
          <w:color w:val="auto"/>
          <w:lang w:eastAsia="zh-CN"/>
        </w:rPr>
        <w:t>G</w:t>
      </w:r>
      <w:r>
        <w:rPr>
          <w:color w:val="auto"/>
          <w:lang w:eastAsia="zh-CN"/>
        </w:rPr>
        <w:t>B</w:t>
      </w:r>
      <w:r>
        <w:rPr>
          <w:rFonts w:hint="eastAsia"/>
          <w:color w:val="auto"/>
          <w:lang w:val="en-US" w:eastAsia="zh-CN"/>
        </w:rPr>
        <w:t xml:space="preserve"> </w:t>
      </w:r>
      <w:r>
        <w:rPr>
          <w:color w:val="auto"/>
          <w:lang w:eastAsia="zh-CN"/>
        </w:rPr>
        <w:t>18597进行防渗处理。</w:t>
      </w:r>
    </w:p>
    <w:p w14:paraId="6A78E69D">
      <w:pPr>
        <w:pStyle w:val="29"/>
        <w:bidi w:val="0"/>
        <w:rPr>
          <w:color w:val="auto"/>
          <w:highlight w:val="none"/>
          <w:lang w:eastAsia="zh-CN"/>
        </w:rPr>
      </w:pPr>
      <w:r>
        <w:rPr>
          <w:rFonts w:hint="eastAsia"/>
          <w:b/>
          <w:bCs/>
          <w:color w:val="auto"/>
          <w:lang w:val="en-US" w:eastAsia="zh-CN"/>
        </w:rPr>
        <w:t>13. 2. 5</w:t>
      </w:r>
      <w:r>
        <w:rPr>
          <w:rFonts w:hint="eastAsia"/>
          <w:color w:val="auto"/>
        </w:rPr>
        <w:t>　</w:t>
      </w:r>
      <w:r>
        <w:rPr>
          <w:rFonts w:hint="eastAsia"/>
          <w:color w:val="auto"/>
          <w:lang w:eastAsia="zh-CN"/>
        </w:rPr>
        <w:t>光伏电站噪声防治设计应符合现行国家标准《工业企业厂界环境噪声排放标准》GB</w:t>
      </w:r>
      <w:r>
        <w:rPr>
          <w:rFonts w:hint="eastAsia"/>
          <w:color w:val="auto"/>
          <w:lang w:val="en-US" w:eastAsia="zh-CN"/>
        </w:rPr>
        <w:t xml:space="preserve"> </w:t>
      </w:r>
      <w:r>
        <w:rPr>
          <w:rFonts w:hint="eastAsia"/>
          <w:color w:val="auto"/>
          <w:lang w:eastAsia="zh-CN"/>
        </w:rPr>
        <w:t>12348的规定。对逆变器及其他输变电设施产生的噪声应从声源上进行控制，并可采用隔声、消声、吸声等控制措施。噪声控制的设计应符合现行国家标准《工业企业噪声控制设计规范》GB</w:t>
      </w:r>
      <w:r>
        <w:rPr>
          <w:color w:val="auto"/>
          <w:lang w:eastAsia="zh-CN"/>
        </w:rPr>
        <w:t>/T</w:t>
      </w:r>
      <w:r>
        <w:rPr>
          <w:rFonts w:hint="eastAsia"/>
          <w:color w:val="auto"/>
          <w:lang w:val="en-US" w:eastAsia="zh-CN"/>
        </w:rPr>
        <w:t xml:space="preserve"> </w:t>
      </w:r>
      <w:r>
        <w:rPr>
          <w:color w:val="auto"/>
          <w:lang w:eastAsia="zh-CN"/>
        </w:rPr>
        <w:t>50087</w:t>
      </w:r>
      <w:r>
        <w:rPr>
          <w:rFonts w:hint="eastAsia"/>
          <w:color w:val="auto"/>
          <w:lang w:eastAsia="zh-CN"/>
        </w:rPr>
        <w:t>的规定。</w:t>
      </w:r>
    </w:p>
    <w:p w14:paraId="3DFDEDB4">
      <w:pPr>
        <w:pStyle w:val="31"/>
        <w:bidi w:val="0"/>
        <w:outlineLvl w:val="1"/>
        <w:rPr>
          <w:color w:val="auto"/>
          <w:lang w:eastAsia="zh-CN"/>
        </w:rPr>
      </w:pPr>
      <w:bookmarkStart w:id="252" w:name="bookmark56"/>
      <w:bookmarkEnd w:id="252"/>
      <w:bookmarkStart w:id="253" w:name="bookmark178"/>
      <w:bookmarkEnd w:id="253"/>
      <w:bookmarkStart w:id="254" w:name="_Toc7820"/>
      <w:bookmarkStart w:id="255" w:name="_Toc19523"/>
      <w:bookmarkStart w:id="256" w:name="_Toc7076"/>
      <w:r>
        <w:rPr>
          <w:rFonts w:hint="eastAsia"/>
          <w:b/>
          <w:bCs/>
          <w:color w:val="auto"/>
          <w:lang w:val="en-US" w:eastAsia="zh-CN"/>
        </w:rPr>
        <w:t>13. 3</w:t>
      </w:r>
      <w:r>
        <w:rPr>
          <w:rFonts w:hint="eastAsia"/>
          <w:color w:val="auto"/>
        </w:rPr>
        <w:t>　</w:t>
      </w:r>
      <w:r>
        <w:rPr>
          <w:rFonts w:hint="eastAsia"/>
          <w:color w:val="auto"/>
          <w:lang w:eastAsia="zh-CN"/>
        </w:rPr>
        <w:t>水土保持</w:t>
      </w:r>
      <w:bookmarkEnd w:id="254"/>
      <w:bookmarkEnd w:id="255"/>
      <w:bookmarkEnd w:id="256"/>
    </w:p>
    <w:p w14:paraId="2A52CF6E">
      <w:pPr>
        <w:pStyle w:val="29"/>
        <w:bidi w:val="0"/>
        <w:rPr>
          <w:color w:val="auto"/>
          <w:lang w:eastAsia="zh-CN"/>
        </w:rPr>
      </w:pPr>
      <w:r>
        <w:rPr>
          <w:rFonts w:hint="eastAsia"/>
          <w:b/>
          <w:bCs/>
          <w:color w:val="auto"/>
          <w:lang w:val="en-US" w:eastAsia="zh-CN"/>
        </w:rPr>
        <w:t>13. 3. 1</w:t>
      </w:r>
      <w:r>
        <w:rPr>
          <w:rFonts w:hint="eastAsia"/>
          <w:color w:val="auto"/>
        </w:rPr>
        <w:t>　</w:t>
      </w:r>
      <w:r>
        <w:rPr>
          <w:rFonts w:hint="eastAsia"/>
          <w:color w:val="auto"/>
          <w:lang w:eastAsia="zh-CN"/>
        </w:rPr>
        <w:t>光伏电站水土保持设计应符合当地水土流失防治目标的要求。</w:t>
      </w:r>
    </w:p>
    <w:p w14:paraId="6D413822">
      <w:pPr>
        <w:pStyle w:val="29"/>
        <w:bidi w:val="0"/>
        <w:rPr>
          <w:color w:val="auto"/>
          <w:lang w:eastAsia="zh-CN"/>
        </w:rPr>
      </w:pPr>
      <w:r>
        <w:rPr>
          <w:rFonts w:hint="eastAsia"/>
          <w:b/>
          <w:bCs/>
          <w:color w:val="auto"/>
          <w:lang w:val="en-US" w:eastAsia="zh-CN"/>
        </w:rPr>
        <w:t>13. 3. 2</w:t>
      </w:r>
      <w:r>
        <w:rPr>
          <w:rFonts w:hint="eastAsia"/>
          <w:color w:val="auto"/>
        </w:rPr>
        <w:t>　</w:t>
      </w:r>
      <w:r>
        <w:rPr>
          <w:rFonts w:hint="eastAsia"/>
          <w:color w:val="auto"/>
          <w:lang w:eastAsia="zh-CN"/>
        </w:rPr>
        <w:t>光伏电站所在地为山区、丘陵等水土易流失区域时，应按国家相关规定编制水土保护方案，并取得相关的批复文件。</w:t>
      </w:r>
    </w:p>
    <w:p w14:paraId="4C34ADB6">
      <w:pPr>
        <w:pStyle w:val="29"/>
        <w:bidi w:val="0"/>
        <w:rPr>
          <w:color w:val="auto"/>
          <w:lang w:eastAsia="zh-CN"/>
        </w:rPr>
      </w:pPr>
      <w:r>
        <w:rPr>
          <w:rFonts w:hint="eastAsia"/>
          <w:b/>
          <w:bCs/>
          <w:color w:val="auto"/>
          <w:lang w:val="en-US" w:eastAsia="zh-CN"/>
        </w:rPr>
        <w:t>13. 3. 3</w:t>
      </w:r>
      <w:r>
        <w:rPr>
          <w:rFonts w:hint="eastAsia"/>
          <w:color w:val="auto"/>
        </w:rPr>
        <w:t>　</w:t>
      </w:r>
      <w:r>
        <w:rPr>
          <w:rFonts w:hint="eastAsia"/>
          <w:color w:val="auto"/>
          <w:lang w:eastAsia="zh-CN"/>
        </w:rPr>
        <w:t>施工结束后，除基础和道路外，其他地方宜恢复原有植被。对施工过程中形成的控制地貌应进行整治。</w:t>
      </w:r>
    </w:p>
    <w:p w14:paraId="21F4AE17">
      <w:pPr>
        <w:pStyle w:val="29"/>
        <w:bidi w:val="0"/>
        <w:rPr>
          <w:color w:val="auto"/>
          <w:lang w:eastAsia="zh-CN"/>
        </w:rPr>
      </w:pPr>
      <w:r>
        <w:rPr>
          <w:rFonts w:hint="eastAsia"/>
          <w:b/>
          <w:bCs/>
          <w:color w:val="auto"/>
          <w:lang w:val="en-US" w:eastAsia="zh-CN"/>
        </w:rPr>
        <w:t>13. 3. 4</w:t>
      </w:r>
      <w:r>
        <w:rPr>
          <w:rFonts w:hint="eastAsia"/>
          <w:color w:val="auto"/>
        </w:rPr>
        <w:t>　</w:t>
      </w:r>
      <w:r>
        <w:rPr>
          <w:rFonts w:hint="eastAsia"/>
          <w:color w:val="auto"/>
          <w:lang w:eastAsia="zh-CN"/>
        </w:rPr>
        <w:t>站内生活区可绿化部位宜进行绿化。</w:t>
      </w:r>
    </w:p>
    <w:p w14:paraId="5EB4C611">
      <w:pPr>
        <w:pStyle w:val="29"/>
        <w:bidi w:val="0"/>
        <w:rPr>
          <w:color w:val="auto"/>
          <w:lang w:eastAsia="zh-CN"/>
        </w:rPr>
      </w:pPr>
      <w:r>
        <w:rPr>
          <w:rFonts w:hint="eastAsia"/>
          <w:b/>
          <w:bCs/>
          <w:color w:val="auto"/>
          <w:lang w:val="en-US" w:eastAsia="zh-CN"/>
        </w:rPr>
        <w:t>13. 3. 5</w:t>
      </w:r>
      <w:r>
        <w:rPr>
          <w:rFonts w:hint="eastAsia"/>
          <w:color w:val="auto"/>
        </w:rPr>
        <w:t>　</w:t>
      </w:r>
      <w:r>
        <w:rPr>
          <w:rFonts w:hint="eastAsia"/>
          <w:color w:val="auto"/>
          <w:lang w:eastAsia="zh-CN"/>
        </w:rPr>
        <w:t>渣场选址不应选在</w:t>
      </w:r>
      <w:r>
        <w:rPr>
          <w:color w:val="auto"/>
          <w:lang w:eastAsia="zh-CN"/>
        </w:rPr>
        <w:t>对公共设施、基础设施、工业企业、居民点等有重大影响的区域。</w:t>
      </w:r>
    </w:p>
    <w:p w14:paraId="025C01A4">
      <w:pPr>
        <w:pStyle w:val="3"/>
        <w:rPr>
          <w:color w:val="auto"/>
          <w:highlight w:val="none"/>
          <w:lang w:eastAsia="zh-CN"/>
        </w:rPr>
      </w:pPr>
    </w:p>
    <w:p w14:paraId="534A8760">
      <w:pPr>
        <w:rPr>
          <w:color w:val="auto"/>
          <w:highlight w:val="none"/>
          <w:lang w:eastAsia="zh-CN"/>
        </w:rPr>
      </w:pPr>
    </w:p>
    <w:p w14:paraId="4BA3E908">
      <w:pPr>
        <w:rPr>
          <w:color w:val="auto"/>
          <w:highlight w:val="none"/>
          <w:lang w:eastAsia="zh-CN"/>
        </w:rPr>
      </w:pPr>
    </w:p>
    <w:p w14:paraId="53906624">
      <w:pPr>
        <w:rPr>
          <w:color w:val="auto"/>
          <w:highlight w:val="none"/>
          <w:lang w:eastAsia="zh-CN"/>
        </w:rPr>
      </w:pPr>
    </w:p>
    <w:p w14:paraId="4B06F06E">
      <w:pPr>
        <w:rPr>
          <w:color w:val="auto"/>
          <w:highlight w:val="none"/>
          <w:lang w:eastAsia="zh-CN"/>
        </w:rPr>
      </w:pPr>
    </w:p>
    <w:p w14:paraId="6AA8D4AD">
      <w:pPr>
        <w:rPr>
          <w:color w:val="auto"/>
          <w:highlight w:val="none"/>
          <w:lang w:eastAsia="zh-CN"/>
        </w:rPr>
      </w:pPr>
    </w:p>
    <w:p w14:paraId="20DE4029">
      <w:pPr>
        <w:rPr>
          <w:color w:val="auto"/>
          <w:highlight w:val="none"/>
          <w:lang w:eastAsia="zh-CN"/>
        </w:rPr>
      </w:pPr>
    </w:p>
    <w:p w14:paraId="30F512EB">
      <w:pPr>
        <w:pStyle w:val="30"/>
        <w:bidi w:val="0"/>
        <w:outlineLvl w:val="0"/>
        <w:rPr>
          <w:color w:val="auto"/>
          <w:lang w:eastAsia="zh-CN"/>
        </w:rPr>
      </w:pPr>
      <w:bookmarkStart w:id="257" w:name="bookmark179"/>
      <w:bookmarkEnd w:id="257"/>
      <w:bookmarkStart w:id="258" w:name="bookmark57"/>
      <w:bookmarkEnd w:id="258"/>
      <w:bookmarkStart w:id="259" w:name="_Toc15992"/>
      <w:bookmarkStart w:id="260" w:name="_Toc9322"/>
      <w:bookmarkStart w:id="261" w:name="_Toc27011"/>
      <w:bookmarkStart w:id="262" w:name="_Toc14489"/>
      <w:r>
        <w:rPr>
          <w:rFonts w:hint="eastAsia"/>
          <w:b/>
          <w:bCs/>
          <w:color w:val="auto"/>
          <w:lang w:val="en-US" w:eastAsia="zh-CN"/>
        </w:rPr>
        <w:t>14</w:t>
      </w:r>
      <w:r>
        <w:rPr>
          <w:rFonts w:hint="eastAsia"/>
          <w:color w:val="auto"/>
        </w:rPr>
        <w:t>　</w:t>
      </w:r>
      <w:r>
        <w:rPr>
          <w:rFonts w:hint="eastAsia"/>
          <w:color w:val="auto"/>
          <w:lang w:eastAsia="zh-CN"/>
        </w:rPr>
        <w:t>劳动安全与职业</w:t>
      </w:r>
      <w:bookmarkEnd w:id="259"/>
      <w:r>
        <w:rPr>
          <w:rFonts w:hint="eastAsia"/>
          <w:color w:val="auto"/>
          <w:lang w:eastAsia="zh-CN"/>
        </w:rPr>
        <w:t>健康</w:t>
      </w:r>
      <w:bookmarkEnd w:id="260"/>
      <w:bookmarkEnd w:id="261"/>
      <w:bookmarkEnd w:id="262"/>
    </w:p>
    <w:p w14:paraId="4FA72873">
      <w:pPr>
        <w:pStyle w:val="29"/>
        <w:bidi w:val="0"/>
        <w:rPr>
          <w:color w:val="auto"/>
          <w:lang w:eastAsia="zh-CN"/>
        </w:rPr>
      </w:pPr>
      <w:bookmarkStart w:id="263" w:name="bookmark58"/>
      <w:bookmarkEnd w:id="263"/>
      <w:bookmarkStart w:id="264" w:name="bookmark180"/>
      <w:bookmarkEnd w:id="264"/>
      <w:r>
        <w:rPr>
          <w:rFonts w:hint="eastAsia"/>
          <w:b/>
          <w:bCs/>
          <w:color w:val="auto"/>
          <w:lang w:val="en-US" w:eastAsia="zh-CN"/>
        </w:rPr>
        <w:t>14. 0. 1</w:t>
      </w:r>
      <w:r>
        <w:rPr>
          <w:rFonts w:hint="eastAsia"/>
          <w:color w:val="auto"/>
        </w:rPr>
        <w:t>　</w:t>
      </w:r>
      <w:r>
        <w:rPr>
          <w:rFonts w:hint="eastAsia"/>
          <w:color w:val="auto"/>
          <w:lang w:eastAsia="zh-CN"/>
        </w:rPr>
        <w:t>劳动安全与职业健康的设计应符合现行国家标准《光伏发电站设计标准》</w:t>
      </w:r>
      <w:r>
        <w:rPr>
          <w:color w:val="auto"/>
          <w:lang w:eastAsia="zh-CN"/>
        </w:rPr>
        <w:t>GB</w:t>
      </w:r>
      <w:r>
        <w:rPr>
          <w:rFonts w:hint="eastAsia"/>
          <w:color w:val="auto"/>
          <w:lang w:val="en-US" w:eastAsia="zh-CN"/>
        </w:rPr>
        <w:t xml:space="preserve"> </w:t>
      </w:r>
      <w:r>
        <w:rPr>
          <w:color w:val="auto"/>
          <w:lang w:eastAsia="zh-CN"/>
        </w:rPr>
        <w:t>50797</w:t>
      </w:r>
      <w:r>
        <w:rPr>
          <w:rFonts w:hint="eastAsia"/>
          <w:color w:val="auto"/>
          <w:lang w:eastAsia="zh-CN"/>
        </w:rPr>
        <w:t>的规定。</w:t>
      </w:r>
    </w:p>
    <w:p w14:paraId="13EE9783">
      <w:pPr>
        <w:pStyle w:val="29"/>
        <w:bidi w:val="0"/>
        <w:rPr>
          <w:color w:val="auto"/>
          <w:lang w:eastAsia="zh-CN"/>
        </w:rPr>
      </w:pPr>
      <w:r>
        <w:rPr>
          <w:rFonts w:hint="eastAsia"/>
          <w:b/>
          <w:bCs/>
          <w:color w:val="auto"/>
          <w:lang w:val="en-US" w:eastAsia="zh-CN"/>
        </w:rPr>
        <w:t>14. 0. 2</w:t>
      </w:r>
      <w:r>
        <w:rPr>
          <w:rFonts w:hint="eastAsia"/>
          <w:color w:val="auto"/>
        </w:rPr>
        <w:t>　</w:t>
      </w:r>
      <w:r>
        <w:rPr>
          <w:rFonts w:hint="eastAsia"/>
          <w:color w:val="auto"/>
          <w:lang w:eastAsia="zh-CN"/>
        </w:rPr>
        <w:t>高海拔项目施工及运维场所宜设置高海拔适应培训专区，确保作业人员逐步适应高海拔环境，减少高原反应引发的健康风险。</w:t>
      </w:r>
    </w:p>
    <w:p w14:paraId="694D6C07">
      <w:pPr>
        <w:pStyle w:val="29"/>
        <w:bidi w:val="0"/>
        <w:rPr>
          <w:rFonts w:hint="eastAsia"/>
          <w:color w:val="auto"/>
          <w:lang w:eastAsia="zh-CN"/>
        </w:rPr>
      </w:pPr>
      <w:r>
        <w:rPr>
          <w:rFonts w:hint="eastAsia"/>
          <w:b/>
          <w:bCs/>
          <w:color w:val="auto"/>
          <w:lang w:val="en-US" w:eastAsia="zh-CN"/>
        </w:rPr>
        <w:t>14. 0. 3</w:t>
      </w:r>
      <w:r>
        <w:rPr>
          <w:rFonts w:hint="eastAsia"/>
          <w:color w:val="auto"/>
        </w:rPr>
        <w:t>　</w:t>
      </w:r>
      <w:r>
        <w:rPr>
          <w:rFonts w:hint="eastAsia"/>
          <w:color w:val="auto"/>
          <w:lang w:eastAsia="zh-CN"/>
        </w:rPr>
        <w:t>高海拔项目现场应加强安全防护设施的配备与维护，作业人员应配备供氧设备、防寒保暖设施、应急医疗设备等；同时，应制定高海拔项目专项应急救援预案，明确应急响应程序，确保发生紧急情况时能够快速响应、有效处置。</w:t>
      </w:r>
    </w:p>
    <w:p w14:paraId="7A5A8178">
      <w:pPr>
        <w:pStyle w:val="29"/>
        <w:bidi w:val="0"/>
        <w:rPr>
          <w:rFonts w:hint="eastAsia"/>
          <w:color w:val="auto"/>
          <w:lang w:eastAsia="zh-CN"/>
        </w:rPr>
      </w:pPr>
    </w:p>
    <w:p w14:paraId="5B3C3E01">
      <w:pPr>
        <w:pStyle w:val="29"/>
        <w:bidi w:val="0"/>
        <w:rPr>
          <w:rFonts w:hint="eastAsia"/>
          <w:color w:val="auto"/>
          <w:lang w:eastAsia="zh-CN"/>
        </w:rPr>
      </w:pPr>
    </w:p>
    <w:p w14:paraId="4C092946">
      <w:pPr>
        <w:pStyle w:val="29"/>
        <w:bidi w:val="0"/>
        <w:rPr>
          <w:rFonts w:hint="eastAsia"/>
          <w:color w:val="auto"/>
          <w:lang w:eastAsia="zh-CN"/>
        </w:rPr>
      </w:pPr>
    </w:p>
    <w:p w14:paraId="73E32E66">
      <w:pPr>
        <w:pStyle w:val="29"/>
        <w:bidi w:val="0"/>
        <w:rPr>
          <w:rFonts w:hint="eastAsia"/>
          <w:color w:val="auto"/>
          <w:lang w:eastAsia="zh-CN"/>
        </w:rPr>
      </w:pPr>
    </w:p>
    <w:p w14:paraId="5E9F5CF5">
      <w:pPr>
        <w:pStyle w:val="29"/>
        <w:bidi w:val="0"/>
        <w:rPr>
          <w:rFonts w:hint="eastAsia"/>
          <w:color w:val="auto"/>
          <w:lang w:eastAsia="zh-CN"/>
        </w:rPr>
      </w:pPr>
    </w:p>
    <w:p w14:paraId="342792C2">
      <w:pPr>
        <w:pStyle w:val="29"/>
        <w:bidi w:val="0"/>
        <w:rPr>
          <w:rFonts w:hint="eastAsia"/>
          <w:color w:val="auto"/>
          <w:lang w:eastAsia="zh-CN"/>
        </w:rPr>
      </w:pPr>
    </w:p>
    <w:p w14:paraId="1AA07688">
      <w:pPr>
        <w:pStyle w:val="29"/>
        <w:bidi w:val="0"/>
        <w:rPr>
          <w:rFonts w:hint="eastAsia"/>
          <w:color w:val="auto"/>
          <w:lang w:eastAsia="zh-CN"/>
        </w:rPr>
      </w:pPr>
    </w:p>
    <w:p w14:paraId="638CDAF2">
      <w:pPr>
        <w:pStyle w:val="29"/>
        <w:bidi w:val="0"/>
        <w:rPr>
          <w:rFonts w:hint="eastAsia"/>
          <w:color w:val="auto"/>
          <w:lang w:eastAsia="zh-CN"/>
        </w:rPr>
      </w:pPr>
    </w:p>
    <w:p w14:paraId="69C9FEDD">
      <w:pPr>
        <w:pStyle w:val="29"/>
        <w:bidi w:val="0"/>
        <w:rPr>
          <w:rFonts w:hint="eastAsia"/>
          <w:color w:val="auto"/>
          <w:lang w:eastAsia="zh-CN"/>
        </w:rPr>
      </w:pPr>
    </w:p>
    <w:p w14:paraId="6E97C75A">
      <w:pPr>
        <w:pStyle w:val="29"/>
        <w:bidi w:val="0"/>
        <w:rPr>
          <w:rFonts w:hint="eastAsia"/>
          <w:color w:val="auto"/>
          <w:lang w:eastAsia="zh-CN"/>
        </w:rPr>
      </w:pPr>
    </w:p>
    <w:p w14:paraId="649D6B74">
      <w:pPr>
        <w:pStyle w:val="29"/>
        <w:bidi w:val="0"/>
        <w:rPr>
          <w:rFonts w:hint="eastAsia"/>
          <w:color w:val="auto"/>
          <w:lang w:eastAsia="zh-CN"/>
        </w:rPr>
      </w:pPr>
    </w:p>
    <w:p w14:paraId="2F1FFC00">
      <w:pPr>
        <w:pStyle w:val="29"/>
        <w:bidi w:val="0"/>
        <w:rPr>
          <w:rFonts w:hint="eastAsia"/>
          <w:color w:val="auto"/>
          <w:lang w:eastAsia="zh-CN"/>
        </w:rPr>
      </w:pPr>
    </w:p>
    <w:p w14:paraId="2D202D25">
      <w:pPr>
        <w:pStyle w:val="29"/>
        <w:bidi w:val="0"/>
        <w:rPr>
          <w:rFonts w:hint="eastAsia"/>
          <w:color w:val="auto"/>
          <w:lang w:eastAsia="zh-CN"/>
        </w:rPr>
      </w:pPr>
    </w:p>
    <w:p w14:paraId="7C63C18B">
      <w:pPr>
        <w:pStyle w:val="29"/>
        <w:bidi w:val="0"/>
        <w:rPr>
          <w:rFonts w:hint="eastAsia"/>
          <w:color w:val="auto"/>
          <w:lang w:eastAsia="zh-CN"/>
        </w:rPr>
      </w:pPr>
    </w:p>
    <w:p w14:paraId="5F470E9D">
      <w:pPr>
        <w:pStyle w:val="29"/>
        <w:bidi w:val="0"/>
        <w:rPr>
          <w:rFonts w:hint="eastAsia"/>
          <w:color w:val="auto"/>
          <w:lang w:eastAsia="zh-CN"/>
        </w:rPr>
      </w:pPr>
    </w:p>
    <w:p w14:paraId="28B4ACDD">
      <w:pPr>
        <w:pStyle w:val="29"/>
        <w:bidi w:val="0"/>
        <w:rPr>
          <w:rFonts w:hint="eastAsia"/>
          <w:color w:val="auto"/>
          <w:lang w:eastAsia="zh-CN"/>
        </w:rPr>
      </w:pPr>
    </w:p>
    <w:p w14:paraId="0CCC6835">
      <w:pPr>
        <w:pStyle w:val="29"/>
        <w:bidi w:val="0"/>
        <w:rPr>
          <w:rFonts w:hint="eastAsia"/>
          <w:color w:val="auto"/>
          <w:lang w:eastAsia="zh-CN"/>
        </w:rPr>
      </w:pPr>
    </w:p>
    <w:p w14:paraId="73E1FB32">
      <w:pPr>
        <w:pStyle w:val="30"/>
        <w:spacing w:before="312" w:after="312"/>
        <w:outlineLvl w:val="0"/>
        <w:rPr>
          <w:color w:val="auto"/>
        </w:rPr>
      </w:pPr>
      <w:bookmarkStart w:id="265" w:name="_Toc30519"/>
      <w:bookmarkStart w:id="266" w:name="_Toc20911"/>
      <w:bookmarkStart w:id="267" w:name="_Toc30344"/>
      <w:r>
        <w:rPr>
          <w:color w:val="auto"/>
        </w:rPr>
        <w:t>本标准用词说明</w:t>
      </w:r>
      <w:bookmarkEnd w:id="265"/>
      <w:bookmarkEnd w:id="266"/>
      <w:bookmarkEnd w:id="267"/>
    </w:p>
    <w:p w14:paraId="77C78B68">
      <w:pPr>
        <w:pStyle w:val="29"/>
        <w:keepNext w:val="0"/>
        <w:keepLines w:val="0"/>
        <w:pageBreakBefore w:val="0"/>
        <w:widowControl w:val="0"/>
        <w:kinsoku/>
        <w:wordWrap/>
        <w:overflowPunct/>
        <w:topLinePunct w:val="0"/>
        <w:autoSpaceDE w:val="0"/>
        <w:autoSpaceDN w:val="0"/>
        <w:bidi w:val="0"/>
        <w:adjustRightInd w:val="0"/>
        <w:snapToGrid w:val="0"/>
        <w:spacing w:line="360" w:lineRule="auto"/>
        <w:ind w:firstLine="562" w:firstLineChars="200"/>
        <w:jc w:val="both"/>
        <w:textAlignment w:val="auto"/>
        <w:outlineLvl w:val="9"/>
        <w:rPr>
          <w:color w:val="auto"/>
        </w:rPr>
      </w:pPr>
      <w:r>
        <w:rPr>
          <w:rFonts w:hint="eastAsia"/>
          <w:b/>
          <w:bCs/>
          <w:color w:val="auto"/>
        </w:rPr>
        <w:t>1</w:t>
      </w:r>
      <w:r>
        <w:rPr>
          <w:rFonts w:hint="eastAsia"/>
          <w:color w:val="auto"/>
          <w:lang w:eastAsia="zh-CN"/>
        </w:rPr>
        <w:t>　</w:t>
      </w:r>
      <w:r>
        <w:rPr>
          <w:rFonts w:hint="eastAsia"/>
          <w:color w:val="auto"/>
        </w:rPr>
        <w:t>为便于在执行本</w:t>
      </w:r>
      <w:r>
        <w:rPr>
          <w:rFonts w:hint="eastAsia"/>
          <w:color w:val="auto"/>
          <w:lang w:val="en-US" w:eastAsia="zh-CN"/>
        </w:rPr>
        <w:t>标准</w:t>
      </w:r>
      <w:r>
        <w:rPr>
          <w:rFonts w:hint="eastAsia"/>
          <w:color w:val="auto"/>
        </w:rPr>
        <w:t>条文时区别对待，对要求严格程度不同的用词说明如下：</w:t>
      </w:r>
    </w:p>
    <w:p w14:paraId="73ECF45A">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color w:val="auto"/>
        </w:rPr>
      </w:pPr>
      <w:r>
        <w:rPr>
          <w:rFonts w:hint="eastAsia"/>
          <w:b/>
          <w:bCs/>
          <w:color w:val="auto"/>
        </w:rPr>
        <w:t>1）</w:t>
      </w:r>
      <w:r>
        <w:rPr>
          <w:rFonts w:hint="eastAsia"/>
          <w:color w:val="auto"/>
        </w:rPr>
        <w:t>表示很严格，非这样做不可的：</w:t>
      </w:r>
    </w:p>
    <w:p w14:paraId="6F6F9E60">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00" w:firstLineChars="500"/>
        <w:jc w:val="both"/>
        <w:textAlignment w:val="auto"/>
        <w:outlineLvl w:val="9"/>
        <w:rPr>
          <w:rFonts w:hint="eastAsia"/>
          <w:color w:val="auto"/>
        </w:rPr>
      </w:pPr>
      <w:r>
        <w:rPr>
          <w:rFonts w:hint="eastAsia"/>
          <w:color w:val="auto"/>
        </w:rPr>
        <w:t>正面词采用“</w:t>
      </w:r>
      <w:r>
        <w:rPr>
          <w:rFonts w:hint="eastAsia"/>
          <w:color w:val="auto"/>
          <w:lang w:eastAsia="zh-CN"/>
        </w:rPr>
        <w:t>必须</w:t>
      </w:r>
      <w:r>
        <w:rPr>
          <w:rFonts w:hint="eastAsia"/>
          <w:color w:val="auto"/>
        </w:rPr>
        <w:t>”，反面词采用“严禁”；</w:t>
      </w:r>
    </w:p>
    <w:p w14:paraId="0D895279">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color w:val="auto"/>
        </w:rPr>
      </w:pPr>
      <w:r>
        <w:rPr>
          <w:rFonts w:hint="eastAsia"/>
          <w:b/>
          <w:bCs/>
          <w:color w:val="auto"/>
        </w:rPr>
        <w:t>2）</w:t>
      </w:r>
      <w:r>
        <w:rPr>
          <w:rFonts w:hint="eastAsia"/>
          <w:color w:val="auto"/>
        </w:rPr>
        <w:t>表示严格，在正常情况下均应这样做的：</w:t>
      </w:r>
    </w:p>
    <w:p w14:paraId="0A6965E8">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19" w:firstLineChars="507"/>
        <w:jc w:val="both"/>
        <w:textAlignment w:val="auto"/>
        <w:outlineLvl w:val="9"/>
        <w:rPr>
          <w:rFonts w:hint="eastAsia"/>
          <w:color w:val="auto"/>
        </w:rPr>
      </w:pPr>
      <w:r>
        <w:rPr>
          <w:rFonts w:hint="eastAsia"/>
          <w:color w:val="auto"/>
        </w:rPr>
        <w:t>正面词采用“应”，反面词采用“不应”或“不得”；</w:t>
      </w:r>
    </w:p>
    <w:p w14:paraId="30E5B1AD">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color w:val="auto"/>
        </w:rPr>
      </w:pPr>
      <w:r>
        <w:rPr>
          <w:rFonts w:hint="eastAsia"/>
          <w:b/>
          <w:bCs/>
          <w:color w:val="auto"/>
        </w:rPr>
        <w:t>3）</w:t>
      </w:r>
      <w:r>
        <w:rPr>
          <w:rFonts w:hint="eastAsia"/>
          <w:color w:val="auto"/>
        </w:rPr>
        <w:t>表述允许稍有选择，在条件许可时首先应这样做的：</w:t>
      </w:r>
    </w:p>
    <w:p w14:paraId="2DC36C0B">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00" w:firstLineChars="500"/>
        <w:jc w:val="both"/>
        <w:textAlignment w:val="auto"/>
        <w:outlineLvl w:val="9"/>
        <w:rPr>
          <w:rFonts w:hint="eastAsia"/>
          <w:color w:val="auto"/>
        </w:rPr>
      </w:pPr>
      <w:r>
        <w:rPr>
          <w:rFonts w:hint="eastAsia"/>
          <w:color w:val="auto"/>
        </w:rPr>
        <w:t>正面词采用“宜”，反面词采用“不宜”；</w:t>
      </w:r>
    </w:p>
    <w:p w14:paraId="459F9B14">
      <w:pPr>
        <w:pStyle w:val="29"/>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color w:val="auto"/>
        </w:rPr>
      </w:pPr>
      <w:r>
        <w:rPr>
          <w:rFonts w:hint="eastAsia"/>
          <w:b/>
          <w:bCs/>
          <w:color w:val="auto"/>
        </w:rPr>
        <w:t>4）</w:t>
      </w:r>
      <w:r>
        <w:rPr>
          <w:rFonts w:hint="eastAsia"/>
          <w:color w:val="auto"/>
        </w:rPr>
        <w:t>表示有选择，在一定条件下可以这样做的，采用“可”。</w:t>
      </w:r>
    </w:p>
    <w:p w14:paraId="04BF9F4B">
      <w:pPr>
        <w:pStyle w:val="29"/>
        <w:keepNext w:val="0"/>
        <w:keepLines w:val="0"/>
        <w:pageBreakBefore w:val="0"/>
        <w:widowControl w:val="0"/>
        <w:kinsoku/>
        <w:wordWrap/>
        <w:overflowPunct/>
        <w:topLinePunct w:val="0"/>
        <w:autoSpaceDE w:val="0"/>
        <w:autoSpaceDN w:val="0"/>
        <w:bidi w:val="0"/>
        <w:adjustRightInd w:val="0"/>
        <w:snapToGrid w:val="0"/>
        <w:spacing w:line="360" w:lineRule="auto"/>
        <w:ind w:firstLine="562" w:firstLineChars="200"/>
        <w:jc w:val="both"/>
        <w:textAlignment w:val="auto"/>
        <w:outlineLvl w:val="9"/>
        <w:rPr>
          <w:color w:val="auto"/>
        </w:rPr>
      </w:pPr>
      <w:r>
        <w:rPr>
          <w:rFonts w:hint="eastAsia"/>
          <w:b/>
          <w:bCs/>
          <w:color w:val="auto"/>
        </w:rPr>
        <w:t>2</w:t>
      </w:r>
      <w:r>
        <w:rPr>
          <w:rFonts w:hint="eastAsia"/>
          <w:color w:val="auto"/>
          <w:lang w:eastAsia="zh-CN"/>
        </w:rPr>
        <w:t>　</w:t>
      </w:r>
      <w:r>
        <w:rPr>
          <w:rFonts w:hint="eastAsia"/>
          <w:color w:val="auto"/>
        </w:rPr>
        <w:t>条文中指明应按其他有关标准执行的写法为：“应符合……的规定”或“应按……执行”。</w:t>
      </w:r>
    </w:p>
    <w:p w14:paraId="08827379">
      <w:pPr>
        <w:autoSpaceDE/>
        <w:autoSpaceDN/>
        <w:adjustRightInd/>
        <w:snapToGrid/>
        <w:spacing w:line="450" w:lineRule="exact"/>
        <w:jc w:val="left"/>
        <w:rPr>
          <w:rFonts w:eastAsia="宋体" w:cs="Times New Roman"/>
          <w:color w:val="auto"/>
        </w:rPr>
      </w:pPr>
    </w:p>
    <w:p w14:paraId="0E0F6ED4">
      <w:pPr>
        <w:autoSpaceDE/>
        <w:autoSpaceDN/>
        <w:adjustRightInd/>
        <w:snapToGrid/>
        <w:spacing w:line="450" w:lineRule="exact"/>
        <w:jc w:val="left"/>
        <w:rPr>
          <w:rFonts w:eastAsia="宋体" w:cs="Times New Roman"/>
          <w:color w:val="auto"/>
        </w:rPr>
      </w:pPr>
    </w:p>
    <w:p w14:paraId="6E20C18B">
      <w:pPr>
        <w:autoSpaceDE/>
        <w:autoSpaceDN/>
        <w:adjustRightInd/>
        <w:snapToGrid/>
        <w:spacing w:line="450" w:lineRule="exact"/>
        <w:jc w:val="left"/>
        <w:rPr>
          <w:rFonts w:eastAsia="宋体" w:cs="Times New Roman"/>
          <w:color w:val="auto"/>
        </w:rPr>
      </w:pPr>
    </w:p>
    <w:p w14:paraId="27F51460">
      <w:pPr>
        <w:autoSpaceDE/>
        <w:autoSpaceDN/>
        <w:adjustRightInd/>
        <w:snapToGrid/>
        <w:spacing w:line="450" w:lineRule="exact"/>
        <w:jc w:val="left"/>
        <w:rPr>
          <w:rFonts w:eastAsia="宋体" w:cs="Times New Roman"/>
          <w:color w:val="auto"/>
        </w:rPr>
      </w:pPr>
    </w:p>
    <w:p w14:paraId="2AE6CEE0">
      <w:pPr>
        <w:autoSpaceDE/>
        <w:autoSpaceDN/>
        <w:adjustRightInd/>
        <w:snapToGrid/>
        <w:spacing w:line="450" w:lineRule="exact"/>
        <w:jc w:val="left"/>
        <w:rPr>
          <w:rFonts w:eastAsia="宋体" w:cs="Times New Roman"/>
          <w:color w:val="auto"/>
        </w:rPr>
      </w:pPr>
    </w:p>
    <w:p w14:paraId="31D6B3FA">
      <w:pPr>
        <w:autoSpaceDE/>
        <w:autoSpaceDN/>
        <w:adjustRightInd/>
        <w:snapToGrid/>
        <w:spacing w:line="450" w:lineRule="exact"/>
        <w:jc w:val="left"/>
        <w:rPr>
          <w:rFonts w:eastAsia="宋体" w:cs="Times New Roman"/>
          <w:color w:val="auto"/>
        </w:rPr>
      </w:pPr>
    </w:p>
    <w:p w14:paraId="76597A59">
      <w:pPr>
        <w:autoSpaceDE/>
        <w:autoSpaceDN/>
        <w:adjustRightInd/>
        <w:snapToGrid/>
        <w:spacing w:line="450" w:lineRule="exact"/>
        <w:jc w:val="left"/>
        <w:rPr>
          <w:rFonts w:eastAsia="宋体" w:cs="Times New Roman"/>
          <w:color w:val="auto"/>
        </w:rPr>
      </w:pPr>
    </w:p>
    <w:p w14:paraId="7A47B6E9">
      <w:pPr>
        <w:autoSpaceDE/>
        <w:autoSpaceDN/>
        <w:adjustRightInd/>
        <w:snapToGrid/>
        <w:spacing w:line="450" w:lineRule="exact"/>
        <w:jc w:val="left"/>
        <w:rPr>
          <w:rFonts w:eastAsia="宋体" w:cs="Times New Roman"/>
          <w:color w:val="auto"/>
        </w:rPr>
      </w:pPr>
    </w:p>
    <w:p w14:paraId="24A58FD2">
      <w:pPr>
        <w:autoSpaceDE/>
        <w:autoSpaceDN/>
        <w:adjustRightInd/>
        <w:snapToGrid/>
        <w:spacing w:line="450" w:lineRule="exact"/>
        <w:jc w:val="left"/>
        <w:rPr>
          <w:rFonts w:eastAsia="宋体" w:cs="Times New Roman"/>
          <w:color w:val="auto"/>
        </w:rPr>
      </w:pPr>
    </w:p>
    <w:p w14:paraId="38B9E05F">
      <w:pPr>
        <w:autoSpaceDE/>
        <w:autoSpaceDN/>
        <w:adjustRightInd/>
        <w:snapToGrid/>
        <w:spacing w:line="450" w:lineRule="exact"/>
        <w:jc w:val="left"/>
        <w:rPr>
          <w:rFonts w:eastAsia="宋体" w:cs="Times New Roman"/>
          <w:color w:val="auto"/>
        </w:rPr>
      </w:pPr>
    </w:p>
    <w:p w14:paraId="0F347BCD">
      <w:pPr>
        <w:autoSpaceDE/>
        <w:autoSpaceDN/>
        <w:adjustRightInd/>
        <w:snapToGrid/>
        <w:spacing w:line="450" w:lineRule="exact"/>
        <w:jc w:val="left"/>
        <w:rPr>
          <w:rFonts w:eastAsia="宋体" w:cs="Times New Roman"/>
          <w:color w:val="auto"/>
        </w:rPr>
      </w:pPr>
    </w:p>
    <w:p w14:paraId="318624E0">
      <w:pPr>
        <w:autoSpaceDE/>
        <w:autoSpaceDN/>
        <w:adjustRightInd/>
        <w:snapToGrid/>
        <w:spacing w:line="450" w:lineRule="exact"/>
        <w:jc w:val="left"/>
        <w:rPr>
          <w:rFonts w:eastAsia="宋体" w:cs="Times New Roman"/>
          <w:color w:val="auto"/>
        </w:rPr>
      </w:pPr>
    </w:p>
    <w:p w14:paraId="60EABB7C">
      <w:pPr>
        <w:autoSpaceDE/>
        <w:autoSpaceDN/>
        <w:adjustRightInd/>
        <w:snapToGrid/>
        <w:spacing w:line="450" w:lineRule="exact"/>
        <w:jc w:val="left"/>
        <w:rPr>
          <w:rFonts w:eastAsia="宋体" w:cs="Times New Roman"/>
          <w:color w:val="auto"/>
        </w:rPr>
      </w:pPr>
    </w:p>
    <w:p w14:paraId="2FC4A6D0">
      <w:pPr>
        <w:autoSpaceDE/>
        <w:autoSpaceDN/>
        <w:adjustRightInd/>
        <w:snapToGrid/>
        <w:spacing w:line="450" w:lineRule="exact"/>
        <w:jc w:val="left"/>
        <w:rPr>
          <w:rFonts w:eastAsia="宋体" w:cs="Times New Roman"/>
          <w:color w:val="auto"/>
        </w:rPr>
      </w:pPr>
    </w:p>
    <w:p w14:paraId="7EFF03D9">
      <w:pPr>
        <w:pStyle w:val="30"/>
        <w:spacing w:before="312" w:after="312"/>
        <w:outlineLvl w:val="0"/>
        <w:rPr>
          <w:color w:val="auto"/>
        </w:rPr>
      </w:pPr>
      <w:bookmarkStart w:id="268" w:name="_Toc25070"/>
      <w:bookmarkStart w:id="269" w:name="_Toc8797"/>
      <w:bookmarkStart w:id="270" w:name="_Toc22800"/>
      <w:r>
        <w:rPr>
          <w:color w:val="auto"/>
        </w:rPr>
        <w:t>引用标准名录</w:t>
      </w:r>
      <w:bookmarkEnd w:id="268"/>
      <w:bookmarkEnd w:id="269"/>
      <w:bookmarkEnd w:id="270"/>
    </w:p>
    <w:p w14:paraId="7DD15BC3">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《构筑物抗震设计规范》GB 50191</w:t>
      </w:r>
    </w:p>
    <w:p w14:paraId="05418989">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《光伏发电站设计标准》GB 50797</w:t>
      </w:r>
    </w:p>
    <w:p w14:paraId="2EFD6403">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《电力变压器能效限定值及能效等级》GB 20052</w:t>
      </w:r>
    </w:p>
    <w:p w14:paraId="5EA452CD">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《建筑地基基础设计规范》GB 50007</w:t>
      </w:r>
    </w:p>
    <w:p w14:paraId="7EC7AB5D">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《建筑结构荷载规范》GB 50009</w:t>
      </w:r>
    </w:p>
    <w:p w14:paraId="76F28022">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《工业建筑防腐蚀设计标准》GB 50046</w:t>
      </w:r>
    </w:p>
    <w:p w14:paraId="599B6C18">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《35kV～110kV变电站设计规范》GB 50059</w:t>
      </w:r>
    </w:p>
    <w:p w14:paraId="59283149">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《66kV及以下架空电力线路设计标准》GB 50061</w:t>
      </w:r>
    </w:p>
    <w:p w14:paraId="31EE99A7">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《电力工程电缆设计标准》GB 50217</w:t>
      </w:r>
    </w:p>
    <w:p w14:paraId="6D63A857">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《太阳能发电站支架基础规范》GB 51101</w:t>
      </w:r>
    </w:p>
    <w:p w14:paraId="31249FBB">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《耐候结构钢》GB/T 4171</w:t>
      </w:r>
    </w:p>
    <w:p w14:paraId="50D296F3">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《继电保护和安全自动装置技术规程》GB/T 14285</w:t>
      </w:r>
    </w:p>
    <w:p w14:paraId="2D2A0AB0">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《电能质量 公用电网谐波》GB/T 14549</w:t>
      </w:r>
    </w:p>
    <w:p w14:paraId="7123194B">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《光伏发电站接入电力系统技术规定》GB/T 19964</w:t>
      </w:r>
    </w:p>
    <w:p w14:paraId="4A161B04">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《光伏发电系统接入配电网技术规定》GB/T 29319</w:t>
      </w:r>
    </w:p>
    <w:p w14:paraId="2AB55F79">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《光伏电站太阳跟踪系统技术要求》GB/T 29320</w:t>
      </w:r>
    </w:p>
    <w:p w14:paraId="798E72C2">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《光伏发电站继电保护技术要求》GB/T 32900</w:t>
      </w:r>
    </w:p>
    <w:p w14:paraId="5C6ED130">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《电化学储能电站接入电网技术规定》GB/T 36547</w:t>
      </w:r>
    </w:p>
    <w:p w14:paraId="2024C170">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《光伏发电并网逆变器技术要求》GB/T 37408</w:t>
      </w:r>
    </w:p>
    <w:p w14:paraId="76BDD6D6">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《太阳能资源评估方法》GB/T 37526</w:t>
      </w:r>
    </w:p>
    <w:p w14:paraId="695B5D0F">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《预制舱式锂离子电池储能系统技术规范》GB/T 44026</w:t>
      </w:r>
    </w:p>
    <w:p w14:paraId="0ECDFF60">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《变电工程总布置设计规程》DL/T 5056</w:t>
      </w:r>
    </w:p>
    <w:p w14:paraId="2196463F">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《建筑桩基技术规范》JGJ 94</w:t>
      </w:r>
    </w:p>
    <w:p w14:paraId="6A20369D">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《冻土地区建筑地基基础设计规范》JGJ 118</w:t>
      </w:r>
    </w:p>
    <w:p w14:paraId="741159AE">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《山地建筑结构设计标准》JGJ/T 472</w:t>
      </w:r>
    </w:p>
    <w:p w14:paraId="6B3635DF">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《小交通量农村公路工程技术标准》JTG 2111</w:t>
      </w:r>
    </w:p>
    <w:p w14:paraId="4FCA1EBA">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《光伏支架结构设计规程》NB/T 10115</w:t>
      </w:r>
    </w:p>
    <w:p w14:paraId="18CFBC00">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《风电场工程道路设计规范》NB/T 10209</w:t>
      </w:r>
    </w:p>
    <w:p w14:paraId="69AAE51B">
      <w:pPr>
        <w:pStyle w:val="29"/>
        <w:keepNext w:val="0"/>
        <w:keepLines w:val="0"/>
        <w:pageBreakBefore w:val="0"/>
        <w:widowControl/>
        <w:numPr>
          <w:ilvl w:val="0"/>
          <w:numId w:val="2"/>
        </w:numPr>
        <w:kinsoku w:val="0"/>
        <w:wordWrap/>
        <w:overflowPunct/>
        <w:topLinePunct w:val="0"/>
        <w:autoSpaceDE/>
        <w:autoSpaceDN/>
        <w:bidi w:val="0"/>
        <w:adjustRightInd w:val="0"/>
        <w:snapToGrid w:val="0"/>
        <w:spacing w:line="336" w:lineRule="auto"/>
        <w:ind w:left="425" w:leftChars="0" w:hanging="425" w:firstLineChars="0"/>
        <w:textAlignment w:val="baseline"/>
        <w:outlineLvl w:val="9"/>
        <w:rPr>
          <w:rFonts w:hint="default" w:eastAsiaTheme="minorEastAsia" w:cstheme="minorBidi"/>
          <w:b w:val="0"/>
          <w:bCs w:val="0"/>
          <w:color w:val="auto"/>
          <w:kern w:val="2"/>
          <w:szCs w:val="24"/>
          <w:lang w:val="en-US" w:eastAsia="zh-CN"/>
        </w:rPr>
      </w:pPr>
      <w:r>
        <w:rPr>
          <w:rFonts w:hint="default" w:eastAsiaTheme="minorEastAsia" w:cstheme="minorBidi"/>
          <w:b w:val="0"/>
          <w:bCs w:val="0"/>
          <w:color w:val="auto"/>
          <w:kern w:val="2"/>
          <w:szCs w:val="24"/>
          <w:lang w:val="en-US" w:eastAsia="zh-CN"/>
        </w:rPr>
        <w:t>《光伏发电站工程项目用地控制指标》TD/T 1075</w:t>
      </w:r>
    </w:p>
    <w:p w14:paraId="70D9D211">
      <w:pPr>
        <w:pStyle w:val="29"/>
        <w:outlineLvl w:val="9"/>
        <w:rPr>
          <w:rFonts w:hint="default" w:eastAsiaTheme="minorEastAsia" w:cstheme="minorBidi"/>
          <w:b w:val="0"/>
          <w:bCs w:val="0"/>
          <w:color w:val="auto"/>
          <w:kern w:val="2"/>
          <w:szCs w:val="24"/>
          <w:lang w:val="en-US" w:eastAsia="zh-CN"/>
        </w:rPr>
      </w:pPr>
    </w:p>
    <w:p w14:paraId="1128466D">
      <w:pPr>
        <w:autoSpaceDE/>
        <w:autoSpaceDN/>
        <w:spacing w:line="420" w:lineRule="exact"/>
        <w:jc w:val="center"/>
        <w:rPr>
          <w:rFonts w:hint="eastAsia" w:ascii="仿宋_GB2312" w:hAnsi="仿宋_GB2312" w:eastAsia="仿宋_GB2312" w:cs="仿宋_GB2312"/>
          <w:snapToGrid w:val="0"/>
          <w:color w:val="auto"/>
          <w:kern w:val="0"/>
          <w:szCs w:val="28"/>
        </w:rPr>
      </w:pPr>
    </w:p>
    <w:p w14:paraId="118FCEC7">
      <w:pPr>
        <w:autoSpaceDE/>
        <w:autoSpaceDN/>
        <w:spacing w:line="420" w:lineRule="exact"/>
        <w:jc w:val="center"/>
        <w:rPr>
          <w:rFonts w:hint="eastAsia" w:ascii="仿宋_GB2312" w:hAnsi="仿宋_GB2312" w:eastAsia="仿宋_GB2312" w:cs="仿宋_GB2312"/>
          <w:snapToGrid w:val="0"/>
          <w:color w:val="auto"/>
          <w:kern w:val="0"/>
          <w:szCs w:val="28"/>
        </w:rPr>
      </w:pPr>
    </w:p>
    <w:p w14:paraId="1A2D7176">
      <w:pPr>
        <w:autoSpaceDE/>
        <w:autoSpaceDN/>
        <w:spacing w:line="420" w:lineRule="exact"/>
        <w:jc w:val="center"/>
        <w:rPr>
          <w:rFonts w:hint="eastAsia" w:ascii="仿宋_GB2312" w:hAnsi="仿宋_GB2312" w:eastAsia="仿宋_GB2312" w:cs="仿宋_GB2312"/>
          <w:snapToGrid w:val="0"/>
          <w:color w:val="auto"/>
          <w:kern w:val="0"/>
          <w:szCs w:val="28"/>
        </w:rPr>
      </w:pPr>
    </w:p>
    <w:p w14:paraId="4627B722">
      <w:pPr>
        <w:autoSpaceDE/>
        <w:autoSpaceDN/>
        <w:spacing w:line="420" w:lineRule="exact"/>
        <w:jc w:val="center"/>
        <w:rPr>
          <w:rFonts w:hint="eastAsia" w:ascii="仿宋_GB2312" w:hAnsi="仿宋_GB2312" w:eastAsia="仿宋_GB2312" w:cs="仿宋_GB2312"/>
          <w:snapToGrid w:val="0"/>
          <w:color w:val="auto"/>
          <w:kern w:val="0"/>
          <w:szCs w:val="28"/>
        </w:rPr>
      </w:pPr>
    </w:p>
    <w:p w14:paraId="39CEC0CC">
      <w:pPr>
        <w:autoSpaceDE/>
        <w:autoSpaceDN/>
        <w:spacing w:line="420" w:lineRule="exact"/>
        <w:jc w:val="center"/>
        <w:rPr>
          <w:rFonts w:hint="eastAsia" w:ascii="仿宋_GB2312" w:hAnsi="仿宋_GB2312" w:eastAsia="仿宋_GB2312" w:cs="仿宋_GB2312"/>
          <w:snapToGrid w:val="0"/>
          <w:color w:val="auto"/>
          <w:kern w:val="0"/>
          <w:szCs w:val="28"/>
        </w:rPr>
      </w:pPr>
    </w:p>
    <w:p w14:paraId="29BC5DB5">
      <w:pPr>
        <w:autoSpaceDE/>
        <w:autoSpaceDN/>
        <w:spacing w:line="420" w:lineRule="exact"/>
        <w:jc w:val="center"/>
        <w:rPr>
          <w:rFonts w:hint="eastAsia" w:ascii="仿宋_GB2312" w:hAnsi="仿宋_GB2312" w:eastAsia="仿宋_GB2312" w:cs="仿宋_GB2312"/>
          <w:snapToGrid w:val="0"/>
          <w:color w:val="auto"/>
          <w:kern w:val="0"/>
          <w:szCs w:val="28"/>
        </w:rPr>
      </w:pPr>
    </w:p>
    <w:p w14:paraId="6B79C159">
      <w:pPr>
        <w:autoSpaceDE/>
        <w:autoSpaceDN/>
        <w:spacing w:line="420" w:lineRule="exact"/>
        <w:jc w:val="center"/>
        <w:rPr>
          <w:rFonts w:hint="eastAsia" w:ascii="仿宋_GB2312" w:hAnsi="仿宋_GB2312" w:eastAsia="仿宋_GB2312" w:cs="仿宋_GB2312"/>
          <w:snapToGrid w:val="0"/>
          <w:color w:val="auto"/>
          <w:kern w:val="0"/>
          <w:szCs w:val="28"/>
        </w:rPr>
      </w:pPr>
    </w:p>
    <w:p w14:paraId="776A8D9C">
      <w:pPr>
        <w:autoSpaceDE/>
        <w:autoSpaceDN/>
        <w:spacing w:line="420" w:lineRule="exact"/>
        <w:jc w:val="center"/>
        <w:rPr>
          <w:rFonts w:hint="eastAsia" w:ascii="仿宋_GB2312" w:hAnsi="仿宋_GB2312" w:eastAsia="仿宋_GB2312" w:cs="仿宋_GB2312"/>
          <w:snapToGrid w:val="0"/>
          <w:color w:val="auto"/>
          <w:kern w:val="0"/>
          <w:szCs w:val="28"/>
        </w:rPr>
      </w:pPr>
    </w:p>
    <w:p w14:paraId="7C57BB8E">
      <w:pPr>
        <w:autoSpaceDE/>
        <w:autoSpaceDN/>
        <w:spacing w:line="420" w:lineRule="exact"/>
        <w:jc w:val="center"/>
        <w:rPr>
          <w:rFonts w:hint="eastAsia" w:ascii="仿宋_GB2312" w:hAnsi="仿宋_GB2312" w:eastAsia="仿宋_GB2312" w:cs="仿宋_GB2312"/>
          <w:snapToGrid w:val="0"/>
          <w:color w:val="auto"/>
          <w:kern w:val="0"/>
          <w:szCs w:val="28"/>
        </w:rPr>
      </w:pPr>
    </w:p>
    <w:p w14:paraId="7AAE6458">
      <w:pPr>
        <w:autoSpaceDE/>
        <w:autoSpaceDN/>
        <w:spacing w:line="420" w:lineRule="exact"/>
        <w:jc w:val="center"/>
        <w:rPr>
          <w:rFonts w:hint="eastAsia" w:ascii="仿宋_GB2312" w:hAnsi="仿宋_GB2312" w:eastAsia="仿宋_GB2312" w:cs="仿宋_GB2312"/>
          <w:snapToGrid w:val="0"/>
          <w:color w:val="auto"/>
          <w:kern w:val="0"/>
          <w:szCs w:val="28"/>
        </w:rPr>
      </w:pPr>
    </w:p>
    <w:p w14:paraId="46B7D93A">
      <w:pPr>
        <w:autoSpaceDE/>
        <w:autoSpaceDN/>
        <w:spacing w:line="420" w:lineRule="exact"/>
        <w:jc w:val="center"/>
        <w:rPr>
          <w:rFonts w:hint="eastAsia" w:ascii="仿宋_GB2312" w:hAnsi="仿宋_GB2312" w:eastAsia="仿宋_GB2312" w:cs="仿宋_GB2312"/>
          <w:snapToGrid w:val="0"/>
          <w:color w:val="auto"/>
          <w:kern w:val="0"/>
          <w:szCs w:val="28"/>
        </w:rPr>
      </w:pPr>
    </w:p>
    <w:p w14:paraId="22E66C54">
      <w:pPr>
        <w:autoSpaceDE/>
        <w:autoSpaceDN/>
        <w:spacing w:line="420" w:lineRule="exact"/>
        <w:jc w:val="center"/>
        <w:rPr>
          <w:rFonts w:hint="eastAsia" w:ascii="仿宋_GB2312" w:hAnsi="仿宋_GB2312" w:eastAsia="仿宋_GB2312" w:cs="仿宋_GB2312"/>
          <w:snapToGrid w:val="0"/>
          <w:color w:val="auto"/>
          <w:kern w:val="0"/>
          <w:szCs w:val="28"/>
        </w:rPr>
      </w:pPr>
    </w:p>
    <w:p w14:paraId="40798D8A">
      <w:pPr>
        <w:autoSpaceDE/>
        <w:autoSpaceDN/>
        <w:spacing w:line="420" w:lineRule="exact"/>
        <w:jc w:val="center"/>
        <w:rPr>
          <w:rFonts w:hint="eastAsia" w:ascii="仿宋_GB2312" w:hAnsi="仿宋_GB2312" w:eastAsia="仿宋_GB2312" w:cs="仿宋_GB2312"/>
          <w:snapToGrid w:val="0"/>
          <w:color w:val="auto"/>
          <w:kern w:val="0"/>
          <w:szCs w:val="28"/>
        </w:rPr>
      </w:pPr>
    </w:p>
    <w:p w14:paraId="12472FD4">
      <w:pPr>
        <w:autoSpaceDE/>
        <w:autoSpaceDN/>
        <w:spacing w:line="420" w:lineRule="exact"/>
        <w:jc w:val="center"/>
        <w:rPr>
          <w:rFonts w:hint="eastAsia" w:ascii="仿宋_GB2312" w:hAnsi="仿宋_GB2312" w:eastAsia="仿宋_GB2312" w:cs="仿宋_GB2312"/>
          <w:snapToGrid w:val="0"/>
          <w:color w:val="auto"/>
          <w:kern w:val="0"/>
          <w:szCs w:val="28"/>
        </w:rPr>
      </w:pPr>
    </w:p>
    <w:p w14:paraId="5677D51D">
      <w:pPr>
        <w:autoSpaceDE/>
        <w:autoSpaceDN/>
        <w:spacing w:line="420" w:lineRule="exact"/>
        <w:jc w:val="center"/>
        <w:rPr>
          <w:rFonts w:hint="eastAsia" w:ascii="仿宋_GB2312" w:hAnsi="仿宋_GB2312" w:eastAsia="仿宋_GB2312" w:cs="仿宋_GB2312"/>
          <w:snapToGrid w:val="0"/>
          <w:color w:val="auto"/>
          <w:kern w:val="0"/>
          <w:szCs w:val="28"/>
        </w:rPr>
      </w:pPr>
    </w:p>
    <w:p w14:paraId="127950BC">
      <w:pPr>
        <w:autoSpaceDE/>
        <w:autoSpaceDN/>
        <w:spacing w:line="420" w:lineRule="exact"/>
        <w:jc w:val="center"/>
        <w:rPr>
          <w:rFonts w:hint="eastAsia" w:ascii="仿宋_GB2312" w:hAnsi="仿宋_GB2312" w:eastAsia="仿宋_GB2312" w:cs="仿宋_GB2312"/>
          <w:snapToGrid w:val="0"/>
          <w:color w:val="auto"/>
          <w:kern w:val="0"/>
          <w:szCs w:val="28"/>
        </w:rPr>
      </w:pPr>
    </w:p>
    <w:p w14:paraId="5FEAD3DB">
      <w:pPr>
        <w:autoSpaceDE/>
        <w:autoSpaceDN/>
        <w:spacing w:line="420" w:lineRule="exact"/>
        <w:jc w:val="center"/>
        <w:rPr>
          <w:rFonts w:hint="eastAsia" w:ascii="仿宋_GB2312" w:hAnsi="仿宋_GB2312" w:eastAsia="仿宋_GB2312" w:cs="仿宋_GB2312"/>
          <w:snapToGrid w:val="0"/>
          <w:color w:val="auto"/>
          <w:kern w:val="0"/>
          <w:szCs w:val="28"/>
        </w:rPr>
      </w:pPr>
    </w:p>
    <w:p w14:paraId="0418E002">
      <w:pPr>
        <w:autoSpaceDE/>
        <w:autoSpaceDN/>
        <w:spacing w:line="420" w:lineRule="exact"/>
        <w:jc w:val="center"/>
        <w:rPr>
          <w:rFonts w:hint="eastAsia" w:ascii="仿宋_GB2312" w:hAnsi="仿宋_GB2312" w:eastAsia="仿宋_GB2312" w:cs="仿宋_GB2312"/>
          <w:snapToGrid w:val="0"/>
          <w:color w:val="auto"/>
          <w:kern w:val="0"/>
          <w:szCs w:val="28"/>
        </w:rPr>
      </w:pPr>
    </w:p>
    <w:p w14:paraId="1E563CF2">
      <w:pPr>
        <w:autoSpaceDE/>
        <w:autoSpaceDN/>
        <w:spacing w:line="420" w:lineRule="exact"/>
        <w:jc w:val="center"/>
        <w:rPr>
          <w:rFonts w:hint="eastAsia" w:ascii="仿宋_GB2312" w:hAnsi="仿宋_GB2312" w:eastAsia="仿宋_GB2312" w:cs="仿宋_GB2312"/>
          <w:snapToGrid w:val="0"/>
          <w:color w:val="auto"/>
          <w:kern w:val="0"/>
          <w:szCs w:val="28"/>
        </w:rPr>
      </w:pPr>
    </w:p>
    <w:p w14:paraId="249079D3">
      <w:pPr>
        <w:autoSpaceDE/>
        <w:autoSpaceDN/>
        <w:spacing w:line="420" w:lineRule="exact"/>
        <w:jc w:val="center"/>
        <w:rPr>
          <w:rFonts w:hint="eastAsia" w:ascii="仿宋_GB2312" w:hAnsi="仿宋_GB2312" w:eastAsia="仿宋_GB2312" w:cs="仿宋_GB2312"/>
          <w:snapToGrid w:val="0"/>
          <w:color w:val="auto"/>
          <w:kern w:val="0"/>
          <w:szCs w:val="28"/>
        </w:rPr>
      </w:pPr>
    </w:p>
    <w:p w14:paraId="6E5432FC">
      <w:pPr>
        <w:autoSpaceDE/>
        <w:autoSpaceDN/>
        <w:spacing w:line="420" w:lineRule="exact"/>
        <w:jc w:val="center"/>
        <w:rPr>
          <w:rFonts w:hint="eastAsia" w:ascii="仿宋_GB2312" w:hAnsi="仿宋_GB2312" w:eastAsia="仿宋_GB2312" w:cs="仿宋_GB2312"/>
          <w:snapToGrid w:val="0"/>
          <w:color w:val="auto"/>
          <w:kern w:val="0"/>
          <w:szCs w:val="28"/>
        </w:rPr>
      </w:pPr>
    </w:p>
    <w:p w14:paraId="040D5101">
      <w:pPr>
        <w:autoSpaceDE/>
        <w:autoSpaceDN/>
        <w:spacing w:line="420" w:lineRule="exact"/>
        <w:jc w:val="center"/>
        <w:rPr>
          <w:rFonts w:hint="eastAsia" w:ascii="仿宋_GB2312" w:hAnsi="仿宋_GB2312" w:eastAsia="仿宋_GB2312" w:cs="仿宋_GB2312"/>
          <w:snapToGrid w:val="0"/>
          <w:color w:val="auto"/>
          <w:kern w:val="0"/>
          <w:szCs w:val="28"/>
        </w:rPr>
      </w:pPr>
    </w:p>
    <w:p w14:paraId="5CA0B6A0">
      <w:pPr>
        <w:autoSpaceDE/>
        <w:autoSpaceDN/>
        <w:spacing w:line="420" w:lineRule="exact"/>
        <w:jc w:val="center"/>
        <w:rPr>
          <w:rFonts w:hint="eastAsia" w:ascii="仿宋_GB2312" w:hAnsi="仿宋_GB2312" w:eastAsia="仿宋_GB2312" w:cs="仿宋_GB2312"/>
          <w:snapToGrid w:val="0"/>
          <w:color w:val="auto"/>
          <w:kern w:val="0"/>
          <w:szCs w:val="28"/>
        </w:rPr>
      </w:pPr>
    </w:p>
    <w:p w14:paraId="2FED548A">
      <w:pPr>
        <w:autoSpaceDE/>
        <w:autoSpaceDN/>
        <w:spacing w:line="420" w:lineRule="exact"/>
        <w:jc w:val="center"/>
        <w:rPr>
          <w:rFonts w:hint="eastAsia" w:ascii="仿宋_GB2312" w:hAnsi="仿宋_GB2312" w:eastAsia="仿宋_GB2312" w:cs="仿宋_GB2312"/>
          <w:snapToGrid w:val="0"/>
          <w:color w:val="auto"/>
          <w:kern w:val="0"/>
          <w:szCs w:val="28"/>
        </w:rPr>
      </w:pPr>
    </w:p>
    <w:p w14:paraId="4126D261">
      <w:pPr>
        <w:autoSpaceDE/>
        <w:autoSpaceDN/>
        <w:spacing w:line="420" w:lineRule="exact"/>
        <w:jc w:val="center"/>
        <w:rPr>
          <w:rFonts w:hint="eastAsia" w:ascii="仿宋_GB2312" w:hAnsi="仿宋_GB2312" w:eastAsia="仿宋_GB2312" w:cs="仿宋_GB2312"/>
          <w:snapToGrid w:val="0"/>
          <w:color w:val="auto"/>
          <w:kern w:val="0"/>
          <w:szCs w:val="28"/>
        </w:rPr>
      </w:pPr>
    </w:p>
    <w:p w14:paraId="6E9D6A85">
      <w:pPr>
        <w:autoSpaceDE/>
        <w:autoSpaceDN/>
        <w:spacing w:line="420" w:lineRule="exact"/>
        <w:jc w:val="center"/>
        <w:rPr>
          <w:rFonts w:hint="eastAsia" w:ascii="仿宋_GB2312" w:hAnsi="仿宋_GB2312" w:eastAsia="仿宋_GB2312" w:cs="仿宋_GB2312"/>
          <w:snapToGrid w:val="0"/>
          <w:color w:val="auto"/>
          <w:kern w:val="0"/>
          <w:szCs w:val="28"/>
        </w:rPr>
      </w:pPr>
    </w:p>
    <w:p w14:paraId="42566C3A">
      <w:pPr>
        <w:autoSpaceDE/>
        <w:autoSpaceDN/>
        <w:spacing w:line="420" w:lineRule="exact"/>
        <w:jc w:val="center"/>
        <w:rPr>
          <w:rFonts w:hint="eastAsia" w:ascii="仿宋_GB2312" w:hAnsi="仿宋_GB2312" w:eastAsia="仿宋_GB2312" w:cs="仿宋_GB2312"/>
          <w:snapToGrid w:val="0"/>
          <w:color w:val="auto"/>
          <w:kern w:val="0"/>
          <w:szCs w:val="28"/>
        </w:rPr>
      </w:pPr>
    </w:p>
    <w:p w14:paraId="4472B28F">
      <w:pPr>
        <w:autoSpaceDE/>
        <w:autoSpaceDN/>
        <w:spacing w:line="420" w:lineRule="exact"/>
        <w:jc w:val="center"/>
        <w:outlineLvl w:val="9"/>
        <w:rPr>
          <w:rFonts w:hint="eastAsia" w:ascii="仿宋_GB2312" w:hAnsi="仿宋_GB2312" w:eastAsia="仿宋_GB2312" w:cs="仿宋_GB2312"/>
          <w:snapToGrid w:val="0"/>
          <w:color w:val="auto"/>
          <w:kern w:val="0"/>
          <w:szCs w:val="28"/>
        </w:rPr>
      </w:pPr>
    </w:p>
    <w:p w14:paraId="588E7ACF">
      <w:pPr>
        <w:autoSpaceDE/>
        <w:autoSpaceDN/>
        <w:spacing w:line="420" w:lineRule="exact"/>
        <w:jc w:val="center"/>
        <w:outlineLvl w:val="9"/>
        <w:rPr>
          <w:rFonts w:hint="eastAsia" w:ascii="仿宋_GB2312" w:hAnsi="仿宋_GB2312" w:eastAsia="仿宋_GB2312" w:cs="仿宋_GB2312"/>
          <w:snapToGrid w:val="0"/>
          <w:color w:val="auto"/>
          <w:kern w:val="0"/>
          <w:szCs w:val="28"/>
        </w:rPr>
      </w:pPr>
    </w:p>
    <w:p w14:paraId="75EF0F3B">
      <w:pPr>
        <w:autoSpaceDE/>
        <w:autoSpaceDN/>
        <w:spacing w:line="420" w:lineRule="exact"/>
        <w:jc w:val="center"/>
        <w:outlineLvl w:val="9"/>
        <w:rPr>
          <w:rFonts w:hint="eastAsia" w:ascii="宋体" w:hAnsi="宋体" w:eastAsia="黑体" w:cs="宋体"/>
          <w:snapToGrid w:val="0"/>
          <w:color w:val="auto"/>
          <w:kern w:val="0"/>
          <w:szCs w:val="28"/>
        </w:rPr>
      </w:pPr>
      <w:bookmarkStart w:id="271" w:name="_Toc17837"/>
      <w:r>
        <w:rPr>
          <w:rFonts w:hint="eastAsia" w:ascii="仿宋_GB2312" w:hAnsi="仿宋_GB2312" w:eastAsia="仿宋_GB2312" w:cs="仿宋_GB2312"/>
          <w:snapToGrid w:val="0"/>
          <w:color w:val="auto"/>
          <w:kern w:val="0"/>
          <w:szCs w:val="28"/>
        </w:rPr>
        <w:t>云南省工程建设标准</w:t>
      </w:r>
      <w:bookmarkEnd w:id="271"/>
    </w:p>
    <w:p w14:paraId="427E429F">
      <w:pPr>
        <w:autoSpaceDE/>
        <w:autoSpaceDN/>
        <w:adjustRightInd/>
        <w:snapToGrid/>
        <w:spacing w:line="450" w:lineRule="exact"/>
        <w:jc w:val="center"/>
        <w:rPr>
          <w:rFonts w:hint="eastAsia" w:ascii="宋体" w:hAnsi="宋体" w:eastAsia="华文中宋" w:cs="宋体"/>
          <w:b/>
          <w:snapToGrid w:val="0"/>
          <w:color w:val="auto"/>
          <w:kern w:val="0"/>
          <w:szCs w:val="28"/>
        </w:rPr>
      </w:pPr>
    </w:p>
    <w:p w14:paraId="430741B6">
      <w:pPr>
        <w:autoSpaceDE/>
        <w:autoSpaceDN/>
        <w:jc w:val="center"/>
        <w:outlineLvl w:val="9"/>
        <w:rPr>
          <w:rFonts w:hint="eastAsia" w:ascii="仿宋_GB2312" w:hAnsi="仿宋_GB2312" w:eastAsia="仿宋_GB2312" w:cs="仿宋_GB2312"/>
          <w:snapToGrid w:val="0"/>
          <w:color w:val="auto"/>
          <w:kern w:val="0"/>
          <w:szCs w:val="28"/>
        </w:rPr>
      </w:pPr>
      <w:bookmarkStart w:id="272" w:name="_Toc12553"/>
      <w:r>
        <w:rPr>
          <w:rFonts w:hint="eastAsia" w:ascii="仿宋_GB2312" w:hAnsi="仿宋_GB2312" w:eastAsia="仿宋_GB2312" w:cs="仿宋_GB2312"/>
          <w:snapToGrid w:val="0"/>
          <w:color w:val="auto"/>
          <w:kern w:val="0"/>
          <w:szCs w:val="28"/>
        </w:rPr>
        <w:t>云南省山地光伏电站设计标准</w:t>
      </w:r>
      <w:bookmarkEnd w:id="272"/>
    </w:p>
    <w:p w14:paraId="62539D69">
      <w:pPr>
        <w:autoSpaceDE/>
        <w:autoSpaceDN/>
        <w:jc w:val="center"/>
        <w:rPr>
          <w:rFonts w:hint="eastAsia" w:ascii="仿宋_GB2312" w:hAnsi="仿宋_GB2312" w:eastAsia="仿宋_GB2312" w:cs="仿宋_GB2312"/>
          <w:snapToGrid w:val="0"/>
          <w:color w:val="auto"/>
          <w:kern w:val="0"/>
          <w:szCs w:val="28"/>
        </w:rPr>
      </w:pPr>
      <w:r>
        <w:rPr>
          <w:rFonts w:hint="eastAsia" w:ascii="仿宋_GB2312" w:hAnsi="仿宋_GB2312" w:eastAsia="仿宋_GB2312" w:cs="仿宋_GB2312"/>
          <w:snapToGrid w:val="0"/>
          <w:color w:val="auto"/>
          <w:kern w:val="0"/>
          <w:szCs w:val="28"/>
        </w:rPr>
        <w:t>DBJ 53/T-XXX-202X</w:t>
      </w:r>
    </w:p>
    <w:p w14:paraId="6974D8E9">
      <w:pPr>
        <w:autoSpaceDE/>
        <w:autoSpaceDN/>
        <w:jc w:val="center"/>
        <w:outlineLvl w:val="0"/>
        <w:rPr>
          <w:rFonts w:hint="eastAsia" w:ascii="仿宋_GB2312" w:hAnsi="仿宋_GB2312" w:eastAsia="仿宋_GB2312" w:cs="仿宋_GB2312"/>
          <w:snapToGrid w:val="0"/>
          <w:color w:val="auto"/>
          <w:kern w:val="0"/>
          <w:szCs w:val="28"/>
        </w:rPr>
      </w:pPr>
      <w:bookmarkStart w:id="273" w:name="_Toc5070"/>
      <w:bookmarkStart w:id="274" w:name="_Toc18166"/>
      <w:bookmarkStart w:id="275" w:name="_Toc28433"/>
      <w:r>
        <w:rPr>
          <w:rFonts w:hint="eastAsia" w:ascii="仿宋_GB2312" w:hAnsi="仿宋_GB2312" w:eastAsia="仿宋_GB2312" w:cs="仿宋_GB2312"/>
          <w:snapToGrid w:val="0"/>
          <w:color w:val="auto"/>
          <w:kern w:val="0"/>
          <w:szCs w:val="28"/>
        </w:rPr>
        <w:t>条文说明</w:t>
      </w:r>
      <w:bookmarkEnd w:id="273"/>
      <w:bookmarkEnd w:id="274"/>
      <w:bookmarkEnd w:id="275"/>
    </w:p>
    <w:p w14:paraId="589273D4">
      <w:pPr>
        <w:autoSpaceDE/>
        <w:autoSpaceDN/>
        <w:jc w:val="center"/>
        <w:outlineLvl w:val="9"/>
        <w:rPr>
          <w:rFonts w:hint="eastAsia" w:ascii="仿宋_GB2312" w:hAnsi="仿宋_GB2312" w:eastAsia="仿宋_GB2312" w:cs="仿宋_GB2312"/>
          <w:snapToGrid w:val="0"/>
          <w:color w:val="auto"/>
          <w:kern w:val="0"/>
          <w:szCs w:val="28"/>
          <w:lang w:eastAsia="zh-CN"/>
        </w:rPr>
      </w:pPr>
      <w:bookmarkStart w:id="276" w:name="_Toc14738"/>
      <w:r>
        <w:rPr>
          <w:rFonts w:hint="eastAsia" w:ascii="仿宋_GB2312" w:hAnsi="仿宋_GB2312" w:eastAsia="仿宋_GB2312" w:cs="仿宋_GB2312"/>
          <w:snapToGrid w:val="0"/>
          <w:color w:val="auto"/>
          <w:kern w:val="0"/>
          <w:szCs w:val="28"/>
          <w:lang w:eastAsia="zh-CN"/>
        </w:rPr>
        <w:t>（</w:t>
      </w:r>
      <w:r>
        <w:rPr>
          <w:rFonts w:hint="eastAsia" w:ascii="仿宋_GB2312" w:hAnsi="仿宋_GB2312" w:eastAsia="仿宋_GB2312" w:cs="仿宋_GB2312"/>
          <w:snapToGrid w:val="0"/>
          <w:color w:val="auto"/>
          <w:kern w:val="0"/>
          <w:szCs w:val="28"/>
          <w:lang w:val="en-US" w:eastAsia="zh-CN"/>
        </w:rPr>
        <w:t>讨论稿</w:t>
      </w:r>
      <w:r>
        <w:rPr>
          <w:rFonts w:hint="eastAsia" w:ascii="仿宋_GB2312" w:hAnsi="仿宋_GB2312" w:eastAsia="仿宋_GB2312" w:cs="仿宋_GB2312"/>
          <w:snapToGrid w:val="0"/>
          <w:color w:val="auto"/>
          <w:kern w:val="0"/>
          <w:szCs w:val="28"/>
          <w:lang w:eastAsia="zh-CN"/>
        </w:rPr>
        <w:t>）</w:t>
      </w:r>
      <w:bookmarkEnd w:id="276"/>
    </w:p>
    <w:p w14:paraId="07E0E93B">
      <w:pPr>
        <w:pStyle w:val="29"/>
        <w:bidi w:val="0"/>
        <w:rPr>
          <w:rFonts w:hint="eastAsia"/>
          <w:color w:val="auto"/>
          <w:lang w:eastAsia="zh-CN"/>
        </w:rPr>
      </w:pPr>
    </w:p>
    <w:p w14:paraId="4BFA7D78">
      <w:pPr>
        <w:pStyle w:val="29"/>
        <w:bidi w:val="0"/>
        <w:rPr>
          <w:rFonts w:hint="eastAsia"/>
          <w:color w:val="auto"/>
          <w:lang w:eastAsia="zh-CN"/>
        </w:rPr>
      </w:pPr>
    </w:p>
    <w:p w14:paraId="28BB4C3C">
      <w:pPr>
        <w:pStyle w:val="29"/>
        <w:bidi w:val="0"/>
        <w:rPr>
          <w:rFonts w:hint="eastAsia"/>
          <w:color w:val="auto"/>
          <w:lang w:eastAsia="zh-CN"/>
        </w:rPr>
      </w:pPr>
    </w:p>
    <w:p w14:paraId="12729BDA">
      <w:pPr>
        <w:pStyle w:val="29"/>
        <w:bidi w:val="0"/>
        <w:rPr>
          <w:rFonts w:hint="eastAsia"/>
          <w:color w:val="auto"/>
          <w:lang w:eastAsia="zh-CN"/>
        </w:rPr>
      </w:pPr>
    </w:p>
    <w:p w14:paraId="01D8BC4D">
      <w:pPr>
        <w:pStyle w:val="29"/>
        <w:bidi w:val="0"/>
        <w:rPr>
          <w:rFonts w:hint="eastAsia"/>
          <w:color w:val="auto"/>
          <w:lang w:eastAsia="zh-CN"/>
        </w:rPr>
      </w:pPr>
    </w:p>
    <w:p w14:paraId="693879D6">
      <w:pPr>
        <w:pStyle w:val="29"/>
        <w:bidi w:val="0"/>
        <w:rPr>
          <w:rFonts w:hint="eastAsia"/>
          <w:color w:val="auto"/>
          <w:lang w:eastAsia="zh-CN"/>
        </w:rPr>
      </w:pPr>
    </w:p>
    <w:p w14:paraId="788096E0">
      <w:pPr>
        <w:pStyle w:val="29"/>
        <w:bidi w:val="0"/>
        <w:rPr>
          <w:rFonts w:hint="eastAsia"/>
          <w:color w:val="auto"/>
          <w:lang w:eastAsia="zh-CN"/>
        </w:rPr>
      </w:pPr>
    </w:p>
    <w:p w14:paraId="1A4F9382">
      <w:pPr>
        <w:pStyle w:val="29"/>
        <w:bidi w:val="0"/>
        <w:rPr>
          <w:rFonts w:hint="eastAsia"/>
          <w:color w:val="auto"/>
          <w:lang w:eastAsia="zh-CN"/>
        </w:rPr>
      </w:pPr>
    </w:p>
    <w:p w14:paraId="7E3E3A2C">
      <w:pPr>
        <w:pStyle w:val="29"/>
        <w:bidi w:val="0"/>
        <w:rPr>
          <w:rFonts w:hint="eastAsia"/>
          <w:color w:val="auto"/>
          <w:lang w:eastAsia="zh-CN"/>
        </w:rPr>
      </w:pPr>
    </w:p>
    <w:p w14:paraId="4B50338F">
      <w:pPr>
        <w:pStyle w:val="29"/>
        <w:bidi w:val="0"/>
        <w:rPr>
          <w:rFonts w:hint="eastAsia"/>
          <w:color w:val="auto"/>
          <w:lang w:eastAsia="zh-CN"/>
        </w:rPr>
      </w:pPr>
    </w:p>
    <w:p w14:paraId="6217EE39">
      <w:pPr>
        <w:pStyle w:val="29"/>
        <w:bidi w:val="0"/>
        <w:rPr>
          <w:rFonts w:hint="eastAsia"/>
          <w:color w:val="auto"/>
          <w:lang w:eastAsia="zh-CN"/>
        </w:rPr>
      </w:pPr>
    </w:p>
    <w:p w14:paraId="3B6B7DB5">
      <w:pPr>
        <w:pStyle w:val="29"/>
        <w:bidi w:val="0"/>
        <w:rPr>
          <w:rFonts w:hint="eastAsia"/>
          <w:color w:val="auto"/>
          <w:lang w:eastAsia="zh-CN"/>
        </w:rPr>
      </w:pPr>
    </w:p>
    <w:p w14:paraId="0D74F533">
      <w:pPr>
        <w:pStyle w:val="29"/>
        <w:bidi w:val="0"/>
        <w:rPr>
          <w:rFonts w:hint="eastAsia"/>
          <w:color w:val="auto"/>
          <w:lang w:eastAsia="zh-CN"/>
        </w:rPr>
      </w:pPr>
    </w:p>
    <w:p w14:paraId="7565BC10">
      <w:pPr>
        <w:pStyle w:val="29"/>
        <w:bidi w:val="0"/>
        <w:rPr>
          <w:rFonts w:hint="eastAsia"/>
          <w:color w:val="auto"/>
          <w:lang w:eastAsia="zh-CN"/>
        </w:rPr>
      </w:pPr>
    </w:p>
    <w:p w14:paraId="3743B0FD">
      <w:pPr>
        <w:pStyle w:val="29"/>
        <w:bidi w:val="0"/>
        <w:rPr>
          <w:rFonts w:hint="eastAsia"/>
          <w:color w:val="auto"/>
          <w:lang w:eastAsia="zh-CN"/>
        </w:rPr>
      </w:pPr>
    </w:p>
    <w:p w14:paraId="7241C874">
      <w:pPr>
        <w:pStyle w:val="29"/>
        <w:bidi w:val="0"/>
        <w:rPr>
          <w:rFonts w:hint="eastAsia"/>
          <w:color w:val="auto"/>
          <w:lang w:eastAsia="zh-CN"/>
        </w:rPr>
      </w:pPr>
    </w:p>
    <w:p w14:paraId="546224DC">
      <w:pPr>
        <w:pStyle w:val="29"/>
        <w:bidi w:val="0"/>
        <w:rPr>
          <w:rFonts w:hint="eastAsia"/>
          <w:color w:val="auto"/>
          <w:lang w:eastAsia="zh-CN"/>
        </w:rPr>
      </w:pPr>
    </w:p>
    <w:p w14:paraId="08BAC8D0">
      <w:pPr>
        <w:pStyle w:val="29"/>
        <w:bidi w:val="0"/>
        <w:rPr>
          <w:rFonts w:hint="eastAsia"/>
          <w:color w:val="auto"/>
          <w:lang w:eastAsia="zh-CN"/>
        </w:rPr>
      </w:pPr>
    </w:p>
    <w:p w14:paraId="5781FF1A">
      <w:pPr>
        <w:pStyle w:val="29"/>
        <w:bidi w:val="0"/>
        <w:rPr>
          <w:rFonts w:hint="eastAsia"/>
          <w:color w:val="auto"/>
          <w:lang w:eastAsia="zh-CN"/>
        </w:rPr>
      </w:pPr>
    </w:p>
    <w:p w14:paraId="5E866CAB">
      <w:pPr>
        <w:pStyle w:val="29"/>
        <w:bidi w:val="0"/>
        <w:rPr>
          <w:rFonts w:hint="eastAsia"/>
          <w:color w:val="auto"/>
          <w:lang w:eastAsia="zh-CN"/>
        </w:rPr>
      </w:pPr>
    </w:p>
    <w:sdt>
      <w:sdtPr>
        <w:rPr>
          <w:rFonts w:ascii="宋体" w:hAnsi="宋体" w:eastAsia="宋体" w:cs="Arial"/>
          <w:snapToGrid w:val="0"/>
          <w:color w:val="auto"/>
          <w:sz w:val="21"/>
          <w:szCs w:val="21"/>
          <w:lang w:val="en-US" w:eastAsia="en-US" w:bidi="ar-SA"/>
        </w:rPr>
        <w:id w:val="147462068"/>
        <w15:color w:val="DBDBDB"/>
        <w:docPartObj>
          <w:docPartGallery w:val="Table of Contents"/>
          <w:docPartUnique/>
        </w:docPartObj>
      </w:sdtPr>
      <w:sdtEndPr>
        <w:rPr>
          <w:rFonts w:hint="default" w:ascii="Times New Roman" w:hAnsi="Times New Roman" w:eastAsia="宋体" w:cs="Times New Roman"/>
          <w:b/>
          <w:snapToGrid w:val="0"/>
          <w:color w:val="auto"/>
          <w:sz w:val="32"/>
          <w:szCs w:val="40"/>
          <w:highlight w:val="none"/>
          <w:lang w:val="en-US" w:eastAsia="zh-CN" w:bidi="ar-SA"/>
        </w:rPr>
      </w:sdtEndPr>
      <w:sdtContent>
        <w:p w14:paraId="6E60D72D">
          <w:pPr>
            <w:spacing w:before="0" w:beforeLines="0" w:after="0" w:afterLines="0" w:line="240" w:lineRule="auto"/>
            <w:ind w:left="0" w:leftChars="0" w:right="0" w:rightChars="0" w:firstLine="0" w:firstLineChars="0"/>
            <w:jc w:val="center"/>
            <w:rPr>
              <w:color w:val="auto"/>
            </w:rPr>
          </w:pPr>
          <w:r>
            <w:rPr>
              <w:rFonts w:ascii="宋体" w:hAnsi="宋体" w:eastAsia="宋体"/>
              <w:b/>
              <w:bCs/>
              <w:color w:val="auto"/>
              <w:sz w:val="44"/>
              <w:szCs w:val="44"/>
            </w:rPr>
            <w:t>目</w:t>
          </w:r>
          <w:r>
            <w:rPr>
              <w:rFonts w:hint="eastAsia" w:ascii="宋体" w:hAnsi="宋体" w:eastAsia="宋体"/>
              <w:b/>
              <w:bCs/>
              <w:color w:val="auto"/>
              <w:sz w:val="44"/>
              <w:szCs w:val="44"/>
              <w:lang w:val="en-US" w:eastAsia="zh-CN"/>
            </w:rPr>
            <w:t xml:space="preserve">  </w:t>
          </w:r>
          <w:r>
            <w:rPr>
              <w:rFonts w:ascii="宋体" w:hAnsi="宋体" w:eastAsia="宋体"/>
              <w:b/>
              <w:bCs/>
              <w:color w:val="auto"/>
              <w:sz w:val="44"/>
              <w:szCs w:val="44"/>
            </w:rPr>
            <w:t>录</w:t>
          </w:r>
        </w:p>
        <w:p w14:paraId="7CFF010E">
          <w:pPr>
            <w:pStyle w:val="16"/>
            <w:tabs>
              <w:tab w:val="right" w:leader="dot" w:pos="9072"/>
            </w:tabs>
            <w:rPr>
              <w:rFonts w:hint="default" w:ascii="Times New Roman" w:hAnsi="Times New Roman" w:eastAsia="宋体" w:cs="Times New Roman"/>
              <w:snapToGrid w:val="0"/>
              <w:color w:val="auto"/>
              <w:sz w:val="32"/>
              <w:szCs w:val="40"/>
              <w:highlight w:val="none"/>
              <w:lang w:val="en-US" w:eastAsia="zh-CN" w:bidi="ar-SA"/>
            </w:rPr>
          </w:pPr>
        </w:p>
        <w:p w14:paraId="1E96C62F">
          <w:pPr>
            <w:pStyle w:val="16"/>
            <w:tabs>
              <w:tab w:val="right" w:leader="dot" w:pos="9072"/>
            </w:tabs>
            <w:rPr>
              <w:rFonts w:hint="default" w:asciiTheme="minorEastAsia" w:hAnsiTheme="minorEastAsia" w:eastAsiaTheme="minorEastAsia" w:cstheme="minorEastAsia"/>
              <w:color w:val="auto"/>
              <w:sz w:val="28"/>
              <w:szCs w:val="28"/>
              <w:lang w:val="en-US"/>
            </w:rPr>
          </w:pPr>
          <w:r>
            <w:rPr>
              <w:rFonts w:hint="default" w:ascii="Times New Roman" w:hAnsi="Times New Roman" w:eastAsia="宋体" w:cs="Times New Roman"/>
              <w:snapToGrid w:val="0"/>
              <w:color w:val="auto"/>
              <w:sz w:val="32"/>
              <w:szCs w:val="40"/>
              <w:highlight w:val="none"/>
              <w:lang w:val="en-US" w:eastAsia="zh-CN" w:bidi="ar-SA"/>
            </w:rPr>
            <w:fldChar w:fldCharType="begin"/>
          </w:r>
          <w:r>
            <w:rPr>
              <w:rFonts w:hint="default" w:ascii="Times New Roman" w:hAnsi="Times New Roman" w:eastAsia="宋体" w:cs="Times New Roman"/>
              <w:snapToGrid w:val="0"/>
              <w:color w:val="auto"/>
              <w:sz w:val="32"/>
              <w:szCs w:val="40"/>
              <w:highlight w:val="none"/>
              <w:lang w:val="en-US" w:eastAsia="zh-CN" w:bidi="ar-SA"/>
            </w:rPr>
            <w:instrText xml:space="preserve">TOC \o "1-2" \h \u </w:instrText>
          </w:r>
          <w:r>
            <w:rPr>
              <w:rFonts w:hint="default" w:ascii="Times New Roman" w:hAnsi="Times New Roman" w:eastAsia="宋体" w:cs="Times New Roman"/>
              <w:snapToGrid w:val="0"/>
              <w:color w:val="auto"/>
              <w:sz w:val="32"/>
              <w:szCs w:val="40"/>
              <w:highlight w:val="none"/>
              <w:lang w:val="en-US" w:eastAsia="zh-CN" w:bidi="ar-SA"/>
            </w:rPr>
            <w:fldChar w:fldCharType="separate"/>
          </w: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_Toc24484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w:t>
          </w:r>
          <w:r>
            <w:rPr>
              <w:rFonts w:hint="eastAsia" w:asciiTheme="minorEastAsia" w:hAnsiTheme="minorEastAsia" w:eastAsiaTheme="minorEastAsia" w:cstheme="minorEastAsia"/>
              <w:color w:val="auto"/>
              <w:sz w:val="28"/>
              <w:szCs w:val="28"/>
              <w:lang w:eastAsia="zh-CN"/>
            </w:rPr>
            <w:t>　光伏发电系统</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t>9</w:t>
          </w:r>
        </w:p>
        <w:p w14:paraId="6695313C">
          <w:pPr>
            <w:pStyle w:val="17"/>
            <w:tabs>
              <w:tab w:val="right" w:leader="dot" w:pos="9072"/>
            </w:tabs>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_Toc24242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6. 2</w:t>
          </w:r>
          <w:r>
            <w:rPr>
              <w:rFonts w:hint="eastAsia" w:asciiTheme="minorEastAsia" w:hAnsiTheme="minorEastAsia" w:eastAsiaTheme="minorEastAsia" w:cstheme="minorEastAsia"/>
              <w:color w:val="auto"/>
              <w:sz w:val="28"/>
              <w:szCs w:val="28"/>
              <w:lang w:eastAsia="zh-CN"/>
            </w:rPr>
            <w:t>　主要设备选择</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t>9</w:t>
          </w:r>
        </w:p>
        <w:p w14:paraId="4F799168">
          <w:pPr>
            <w:pStyle w:val="17"/>
            <w:tabs>
              <w:tab w:val="right" w:leader="dot" w:pos="9072"/>
            </w:tabs>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_Toc25862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6. 5</w:t>
          </w:r>
          <w:r>
            <w:rPr>
              <w:rFonts w:hint="eastAsia" w:asciiTheme="minorEastAsia" w:hAnsiTheme="minorEastAsia" w:eastAsiaTheme="minorEastAsia" w:cstheme="minorEastAsia"/>
              <w:color w:val="auto"/>
              <w:sz w:val="28"/>
              <w:szCs w:val="28"/>
              <w:lang w:eastAsia="zh-CN"/>
            </w:rPr>
            <w:t>　发电量计算</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t>9</w:t>
          </w:r>
        </w:p>
        <w:p w14:paraId="2AE18782">
          <w:pPr>
            <w:pStyle w:val="17"/>
            <w:tabs>
              <w:tab w:val="right" w:leader="dot" w:pos="9072"/>
            </w:tabs>
            <w:rPr>
              <w:rFonts w:hint="default"/>
              <w:color w:val="auto"/>
              <w:lang w:val="en-US"/>
            </w:rPr>
          </w:pPr>
          <w:r>
            <w:rPr>
              <w:rFonts w:hint="eastAsia" w:asciiTheme="minorEastAsia" w:hAnsiTheme="minorEastAsia" w:eastAsiaTheme="minorEastAsia" w:cstheme="minorEastAsia"/>
              <w:snapToGrid w:val="0"/>
              <w:color w:val="auto"/>
              <w:sz w:val="28"/>
              <w:szCs w:val="28"/>
              <w:highlight w:val="none"/>
              <w:lang w:val="en-US" w:eastAsia="zh-CN" w:bidi="ar-SA"/>
            </w:rPr>
            <w:fldChar w:fldCharType="begin"/>
          </w:r>
          <w:r>
            <w:rPr>
              <w:rFonts w:hint="eastAsia" w:asciiTheme="minorEastAsia" w:hAnsiTheme="minorEastAsia" w:eastAsiaTheme="minorEastAsia" w:cstheme="minorEastAsia"/>
              <w:snapToGrid w:val="0"/>
              <w:color w:val="auto"/>
              <w:sz w:val="28"/>
              <w:szCs w:val="28"/>
              <w:highlight w:val="none"/>
              <w:lang w:val="en-US" w:eastAsia="zh-CN" w:bidi="ar-SA"/>
            </w:rPr>
            <w:instrText xml:space="preserve"> HYPERLINK \l _Toc1539 </w:instrText>
          </w:r>
          <w:r>
            <w:rPr>
              <w:rFonts w:hint="eastAsia" w:asciiTheme="minorEastAsia" w:hAnsiTheme="minorEastAsia" w:eastAsiaTheme="minorEastAsia" w:cstheme="minorEastAsia"/>
              <w:snapToGrid w:val="0"/>
              <w:color w:val="auto"/>
              <w:sz w:val="28"/>
              <w:szCs w:val="28"/>
              <w:highlight w:val="none"/>
              <w:lang w:val="en-US" w:eastAsia="zh-CN" w:bidi="ar-SA"/>
            </w:rPr>
            <w:fldChar w:fldCharType="separate"/>
          </w:r>
          <w:r>
            <w:rPr>
              <w:rFonts w:hint="eastAsia" w:asciiTheme="minorEastAsia" w:hAnsiTheme="minorEastAsia" w:eastAsiaTheme="minorEastAsia" w:cstheme="minorEastAsia"/>
              <w:bCs/>
              <w:color w:val="auto"/>
              <w:sz w:val="28"/>
              <w:szCs w:val="28"/>
              <w:lang w:eastAsia="zh-CN"/>
            </w:rPr>
            <w:t>6. 7</w:t>
          </w:r>
          <w:r>
            <w:rPr>
              <w:rFonts w:hint="eastAsia" w:asciiTheme="minorEastAsia" w:hAnsiTheme="minorEastAsia" w:eastAsiaTheme="minorEastAsia" w:cstheme="minorEastAsia"/>
              <w:color w:val="auto"/>
              <w:sz w:val="28"/>
              <w:szCs w:val="28"/>
              <w:lang w:eastAsia="zh-CN"/>
            </w:rPr>
            <w:t>　光伏支架</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snapToGrid w:val="0"/>
              <w:color w:val="auto"/>
              <w:sz w:val="28"/>
              <w:szCs w:val="28"/>
              <w:highlight w:val="none"/>
              <w:lang w:val="en-US" w:eastAsia="zh-CN" w:bidi="ar-SA"/>
            </w:rPr>
            <w:fldChar w:fldCharType="end"/>
          </w:r>
          <w:r>
            <w:rPr>
              <w:rFonts w:hint="eastAsia" w:asciiTheme="minorEastAsia" w:hAnsiTheme="minorEastAsia" w:eastAsiaTheme="minorEastAsia" w:cstheme="minorEastAsia"/>
              <w:snapToGrid w:val="0"/>
              <w:color w:val="auto"/>
              <w:sz w:val="28"/>
              <w:szCs w:val="28"/>
              <w:highlight w:val="none"/>
              <w:lang w:val="en-US" w:eastAsia="zh-CN" w:bidi="ar-SA"/>
            </w:rPr>
            <w:t>9</w:t>
          </w:r>
        </w:p>
        <w:p w14:paraId="1224AE84">
          <w:pPr>
            <w:pStyle w:val="29"/>
            <w:bidi w:val="0"/>
            <w:rPr>
              <w:rFonts w:hint="default" w:ascii="Times New Roman" w:hAnsi="Times New Roman" w:eastAsia="宋体" w:cs="Times New Roman"/>
              <w:b/>
              <w:snapToGrid w:val="0"/>
              <w:color w:val="auto"/>
              <w:sz w:val="32"/>
              <w:szCs w:val="40"/>
              <w:highlight w:val="none"/>
              <w:lang w:val="en-US" w:eastAsia="zh-CN" w:bidi="ar-SA"/>
            </w:rPr>
          </w:pPr>
          <w:r>
            <w:rPr>
              <w:rFonts w:hint="default" w:ascii="Times New Roman" w:hAnsi="Times New Roman" w:eastAsia="宋体" w:cs="Times New Roman"/>
              <w:snapToGrid w:val="0"/>
              <w:color w:val="auto"/>
              <w:szCs w:val="40"/>
              <w:highlight w:val="none"/>
              <w:lang w:val="en-US" w:eastAsia="zh-CN" w:bidi="ar-SA"/>
            </w:rPr>
            <w:fldChar w:fldCharType="end"/>
          </w:r>
        </w:p>
      </w:sdtContent>
    </w:sdt>
    <w:p w14:paraId="6DADE91C">
      <w:pPr>
        <w:pStyle w:val="29"/>
        <w:bidi w:val="0"/>
        <w:rPr>
          <w:rFonts w:hint="eastAsia" w:ascii="Times New Roman" w:hAnsi="Times New Roman" w:eastAsia="宋体" w:cs="Times New Roman"/>
          <w:b/>
          <w:snapToGrid w:val="0"/>
          <w:color w:val="auto"/>
          <w:sz w:val="32"/>
          <w:szCs w:val="40"/>
          <w:highlight w:val="none"/>
          <w:lang w:val="en-US" w:eastAsia="zh-CN" w:bidi="ar-SA"/>
        </w:rPr>
      </w:pPr>
    </w:p>
    <w:p w14:paraId="4E75826A">
      <w:pPr>
        <w:pStyle w:val="29"/>
        <w:bidi w:val="0"/>
        <w:rPr>
          <w:rFonts w:hint="eastAsia"/>
          <w:color w:val="auto"/>
          <w:lang w:eastAsia="zh-CN"/>
        </w:rPr>
      </w:pPr>
    </w:p>
    <w:p w14:paraId="17C75B77">
      <w:pPr>
        <w:pStyle w:val="29"/>
        <w:bidi w:val="0"/>
        <w:rPr>
          <w:rFonts w:hint="eastAsia"/>
          <w:color w:val="auto"/>
          <w:lang w:eastAsia="zh-CN"/>
        </w:rPr>
      </w:pPr>
    </w:p>
    <w:p w14:paraId="1A4577A2">
      <w:pPr>
        <w:pStyle w:val="29"/>
        <w:bidi w:val="0"/>
        <w:rPr>
          <w:rFonts w:hint="eastAsia"/>
          <w:color w:val="auto"/>
          <w:lang w:eastAsia="zh-CN"/>
        </w:rPr>
      </w:pPr>
    </w:p>
    <w:p w14:paraId="1CD9B4E2">
      <w:pPr>
        <w:pStyle w:val="29"/>
        <w:bidi w:val="0"/>
        <w:rPr>
          <w:rFonts w:hint="eastAsia"/>
          <w:color w:val="auto"/>
          <w:lang w:eastAsia="zh-CN"/>
        </w:rPr>
      </w:pPr>
    </w:p>
    <w:p w14:paraId="15BDE55A">
      <w:pPr>
        <w:pStyle w:val="29"/>
        <w:bidi w:val="0"/>
        <w:rPr>
          <w:rFonts w:hint="eastAsia"/>
          <w:color w:val="auto"/>
          <w:lang w:eastAsia="zh-CN"/>
        </w:rPr>
      </w:pPr>
    </w:p>
    <w:p w14:paraId="39E35795">
      <w:pPr>
        <w:pStyle w:val="29"/>
        <w:bidi w:val="0"/>
        <w:rPr>
          <w:rFonts w:hint="eastAsia"/>
          <w:color w:val="auto"/>
          <w:lang w:eastAsia="zh-CN"/>
        </w:rPr>
      </w:pPr>
    </w:p>
    <w:p w14:paraId="7ACCF214">
      <w:pPr>
        <w:pStyle w:val="29"/>
        <w:bidi w:val="0"/>
        <w:rPr>
          <w:rFonts w:hint="eastAsia"/>
          <w:color w:val="auto"/>
          <w:lang w:eastAsia="zh-CN"/>
        </w:rPr>
      </w:pPr>
    </w:p>
    <w:p w14:paraId="61319EFA">
      <w:pPr>
        <w:pStyle w:val="29"/>
        <w:bidi w:val="0"/>
        <w:rPr>
          <w:rFonts w:hint="eastAsia"/>
          <w:color w:val="auto"/>
          <w:lang w:eastAsia="zh-CN"/>
        </w:rPr>
      </w:pPr>
    </w:p>
    <w:p w14:paraId="79604D33">
      <w:pPr>
        <w:pStyle w:val="29"/>
        <w:bidi w:val="0"/>
        <w:rPr>
          <w:rFonts w:hint="eastAsia"/>
          <w:color w:val="auto"/>
          <w:lang w:eastAsia="zh-CN"/>
        </w:rPr>
      </w:pPr>
    </w:p>
    <w:p w14:paraId="19DAC4C5">
      <w:pPr>
        <w:pStyle w:val="29"/>
        <w:bidi w:val="0"/>
        <w:rPr>
          <w:rFonts w:hint="eastAsia"/>
          <w:color w:val="auto"/>
          <w:lang w:eastAsia="zh-CN"/>
        </w:rPr>
      </w:pPr>
    </w:p>
    <w:p w14:paraId="161D784D">
      <w:pPr>
        <w:pStyle w:val="29"/>
        <w:bidi w:val="0"/>
        <w:rPr>
          <w:rFonts w:hint="eastAsia"/>
          <w:color w:val="auto"/>
          <w:lang w:eastAsia="zh-CN"/>
        </w:rPr>
      </w:pPr>
    </w:p>
    <w:p w14:paraId="06CBEF31">
      <w:pPr>
        <w:pStyle w:val="29"/>
        <w:bidi w:val="0"/>
        <w:rPr>
          <w:rFonts w:hint="eastAsia"/>
          <w:color w:val="auto"/>
          <w:lang w:eastAsia="zh-CN"/>
        </w:rPr>
      </w:pPr>
    </w:p>
    <w:p w14:paraId="245152C7">
      <w:pPr>
        <w:pStyle w:val="29"/>
        <w:bidi w:val="0"/>
        <w:rPr>
          <w:rFonts w:hint="eastAsia"/>
          <w:color w:val="auto"/>
          <w:lang w:eastAsia="zh-CN"/>
        </w:rPr>
      </w:pPr>
    </w:p>
    <w:p w14:paraId="44CEEFC9">
      <w:pPr>
        <w:pStyle w:val="29"/>
        <w:bidi w:val="0"/>
        <w:rPr>
          <w:rFonts w:hint="eastAsia"/>
          <w:color w:val="auto"/>
          <w:lang w:eastAsia="zh-CN"/>
        </w:rPr>
      </w:pPr>
    </w:p>
    <w:p w14:paraId="5C07A9DB">
      <w:pPr>
        <w:pStyle w:val="29"/>
        <w:bidi w:val="0"/>
        <w:rPr>
          <w:rFonts w:hint="eastAsia"/>
          <w:color w:val="auto"/>
          <w:lang w:eastAsia="zh-CN"/>
        </w:rPr>
      </w:pPr>
    </w:p>
    <w:p w14:paraId="04B9D07C">
      <w:pPr>
        <w:pStyle w:val="29"/>
        <w:bidi w:val="0"/>
        <w:rPr>
          <w:rFonts w:hint="eastAsia"/>
          <w:color w:val="auto"/>
          <w:lang w:eastAsia="zh-CN"/>
        </w:rPr>
      </w:pPr>
    </w:p>
    <w:p w14:paraId="2CE0B933">
      <w:pPr>
        <w:pStyle w:val="29"/>
        <w:bidi w:val="0"/>
        <w:rPr>
          <w:rFonts w:hint="eastAsia"/>
          <w:color w:val="auto"/>
          <w:lang w:eastAsia="zh-CN"/>
        </w:rPr>
      </w:pPr>
    </w:p>
    <w:p w14:paraId="507E77C1">
      <w:pPr>
        <w:pStyle w:val="29"/>
        <w:bidi w:val="0"/>
        <w:rPr>
          <w:rFonts w:hint="eastAsia"/>
          <w:color w:val="auto"/>
          <w:lang w:eastAsia="zh-CN"/>
        </w:rPr>
      </w:pPr>
    </w:p>
    <w:p w14:paraId="23B94EEE">
      <w:pPr>
        <w:pStyle w:val="29"/>
        <w:bidi w:val="0"/>
        <w:rPr>
          <w:rFonts w:hint="eastAsia"/>
          <w:color w:val="auto"/>
          <w:lang w:eastAsia="zh-CN"/>
        </w:rPr>
      </w:pPr>
    </w:p>
    <w:p w14:paraId="1AEE9617">
      <w:pPr>
        <w:pStyle w:val="29"/>
        <w:bidi w:val="0"/>
        <w:rPr>
          <w:rFonts w:hint="eastAsia"/>
          <w:color w:val="auto"/>
          <w:lang w:eastAsia="zh-CN"/>
        </w:rPr>
      </w:pPr>
    </w:p>
    <w:p w14:paraId="7284048C">
      <w:pPr>
        <w:pStyle w:val="29"/>
        <w:bidi w:val="0"/>
        <w:rPr>
          <w:rFonts w:hint="eastAsia"/>
          <w:color w:val="auto"/>
          <w:lang w:eastAsia="zh-CN"/>
        </w:rPr>
      </w:pPr>
    </w:p>
    <w:p w14:paraId="79F9F384">
      <w:pPr>
        <w:pStyle w:val="30"/>
        <w:bidi w:val="0"/>
        <w:outlineLvl w:val="0"/>
        <w:rPr>
          <w:rFonts w:hint="eastAsia"/>
          <w:color w:val="auto"/>
          <w:lang w:eastAsia="zh-CN"/>
        </w:rPr>
      </w:pPr>
      <w:bookmarkStart w:id="277" w:name="_Toc29736"/>
      <w:bookmarkStart w:id="278" w:name="_Toc24484"/>
      <w:bookmarkStart w:id="279" w:name="_Toc29949"/>
      <w:r>
        <w:rPr>
          <w:rFonts w:hint="eastAsia"/>
          <w:b/>
          <w:bCs/>
          <w:color w:val="auto"/>
          <w:lang w:eastAsia="zh-CN"/>
        </w:rPr>
        <w:t>6</w:t>
      </w:r>
      <w:r>
        <w:rPr>
          <w:rFonts w:hint="eastAsia"/>
          <w:color w:val="auto"/>
          <w:lang w:eastAsia="zh-CN"/>
        </w:rPr>
        <w:t>　光伏发电系统</w:t>
      </w:r>
      <w:bookmarkEnd w:id="277"/>
      <w:bookmarkEnd w:id="278"/>
      <w:bookmarkEnd w:id="279"/>
    </w:p>
    <w:p w14:paraId="6B8733C3">
      <w:pPr>
        <w:pStyle w:val="31"/>
        <w:bidi w:val="0"/>
        <w:outlineLvl w:val="1"/>
        <w:rPr>
          <w:rFonts w:hint="eastAsia"/>
          <w:color w:val="auto"/>
          <w:lang w:eastAsia="zh-CN"/>
        </w:rPr>
      </w:pPr>
      <w:bookmarkStart w:id="280" w:name="_Toc960"/>
      <w:bookmarkStart w:id="281" w:name="_Toc24242"/>
      <w:r>
        <w:rPr>
          <w:rFonts w:hint="eastAsia"/>
          <w:b/>
          <w:bCs/>
          <w:color w:val="auto"/>
          <w:lang w:eastAsia="zh-CN"/>
        </w:rPr>
        <w:t>6. 2</w:t>
      </w:r>
      <w:r>
        <w:rPr>
          <w:rFonts w:hint="eastAsia"/>
          <w:color w:val="auto"/>
          <w:lang w:eastAsia="zh-CN"/>
        </w:rPr>
        <w:t>　主要设备选择</w:t>
      </w:r>
      <w:bookmarkEnd w:id="280"/>
      <w:bookmarkEnd w:id="281"/>
    </w:p>
    <w:p w14:paraId="28EA27E9">
      <w:pPr>
        <w:pStyle w:val="29"/>
        <w:bidi w:val="0"/>
        <w:rPr>
          <w:rFonts w:hint="eastAsia"/>
          <w:strike/>
          <w:dstrike w:val="0"/>
          <w:color w:val="auto"/>
          <w:lang w:eastAsia="zh-CN"/>
        </w:rPr>
      </w:pPr>
      <w:r>
        <w:rPr>
          <w:rFonts w:hint="eastAsia"/>
          <w:b/>
          <w:bCs/>
          <w:strike w:val="0"/>
          <w:dstrike w:val="0"/>
          <w:color w:val="auto"/>
          <w:lang w:eastAsia="zh-CN"/>
        </w:rPr>
        <w:t>6. 2. 1</w:t>
      </w:r>
      <w:r>
        <w:rPr>
          <w:rFonts w:hint="eastAsia"/>
          <w:strike w:val="0"/>
          <w:dstrike w:val="0"/>
          <w:color w:val="auto"/>
        </w:rPr>
        <w:t>　</w:t>
      </w:r>
      <w:r>
        <w:rPr>
          <w:rFonts w:hint="eastAsia"/>
          <w:strike w:val="0"/>
          <w:dstrike w:val="0"/>
          <w:color w:val="auto"/>
          <w:lang w:eastAsia="zh-CN"/>
        </w:rPr>
        <w:t>光伏组件能效等级参照GB 47834-2026《晶体硅光伏组件和逆变器能效限定值及能效等级》。</w:t>
      </w:r>
      <w:r>
        <w:rPr>
          <w:rFonts w:hint="eastAsia"/>
          <w:strike/>
          <w:dstrike w:val="0"/>
          <w:color w:val="auto"/>
          <w:lang w:eastAsia="zh-CN"/>
        </w:rPr>
        <w:t>‌</w:t>
      </w:r>
    </w:p>
    <w:p w14:paraId="7E2585F8">
      <w:pPr>
        <w:pStyle w:val="31"/>
        <w:bidi w:val="0"/>
        <w:outlineLvl w:val="1"/>
        <w:rPr>
          <w:rFonts w:hint="eastAsia"/>
          <w:color w:val="auto"/>
          <w:lang w:eastAsia="zh-CN"/>
        </w:rPr>
      </w:pPr>
      <w:bookmarkStart w:id="282" w:name="_Toc25862"/>
      <w:bookmarkStart w:id="283" w:name="_Toc2464"/>
      <w:r>
        <w:rPr>
          <w:rFonts w:hint="eastAsia"/>
          <w:b/>
          <w:bCs/>
          <w:color w:val="auto"/>
          <w:lang w:eastAsia="zh-CN"/>
        </w:rPr>
        <w:t>6. 5</w:t>
      </w:r>
      <w:r>
        <w:rPr>
          <w:rFonts w:hint="eastAsia"/>
          <w:color w:val="auto"/>
          <w:lang w:eastAsia="zh-CN"/>
        </w:rPr>
        <w:t>　发电量计算</w:t>
      </w:r>
      <w:bookmarkEnd w:id="282"/>
      <w:bookmarkEnd w:id="283"/>
    </w:p>
    <w:p w14:paraId="161B1535">
      <w:pPr>
        <w:pStyle w:val="29"/>
        <w:bidi w:val="0"/>
        <w:rPr>
          <w:rFonts w:hint="eastAsia"/>
          <w:color w:val="auto"/>
          <w:lang w:eastAsia="zh-CN"/>
        </w:rPr>
      </w:pPr>
      <w:r>
        <w:rPr>
          <w:rFonts w:hint="eastAsia"/>
          <w:b/>
          <w:bCs/>
          <w:color w:val="auto"/>
          <w:lang w:eastAsia="zh-CN"/>
        </w:rPr>
        <w:t>6. 5. 2</w:t>
      </w:r>
      <w:r>
        <w:rPr>
          <w:rFonts w:hint="eastAsia"/>
          <w:color w:val="auto"/>
          <w:lang w:eastAsia="zh-CN"/>
        </w:rPr>
        <w:t>　山地光伏阵列实际布置时，例如阵列实际方位角总体偏东且东侧有微山体影响时，除阵列方位角偏差影响倾斜面辐射量外其对侧山体也会产生遮挡影响使得阵列面接受的实际辐射量进一步降低，因此山地光伏电站系统效率增加阵列对向微地形山体影响损失。</w:t>
      </w:r>
    </w:p>
    <w:p w14:paraId="764D9276">
      <w:pPr>
        <w:pStyle w:val="29"/>
        <w:bidi w:val="0"/>
        <w:rPr>
          <w:rFonts w:hint="eastAsia"/>
          <w:color w:val="auto"/>
          <w:lang w:eastAsia="zh-CN"/>
        </w:rPr>
      </w:pPr>
      <w:r>
        <w:rPr>
          <w:rFonts w:hint="eastAsia"/>
          <w:b/>
          <w:bCs/>
          <w:color w:val="auto"/>
          <w:lang w:eastAsia="zh-CN"/>
        </w:rPr>
        <w:t>6. 5. 4</w:t>
      </w:r>
      <w:r>
        <w:rPr>
          <w:rFonts w:hint="eastAsia"/>
          <w:color w:val="auto"/>
          <w:lang w:eastAsia="zh-CN"/>
        </w:rPr>
        <w:t>　山地光伏阵列实际布置存在不同的朝向和遮挡情况，例如当光伏阵列在北向坡考虑增加遮挡布置时，远景山体遮挡损失与近阴影损失之间存在重叠，应当采用影响最大的损失系数，不应重复折减；当光伏阵列布置分散且微地形起伏较大时，则存在阵列间有遮挡或无遮挡、远处山体有影响或局部对侧山体相互叠加影响的复杂情况，而资源点取值、远景地平线选取无法充分考虑每个光伏阵列实际情况，进而导致三者影响相互抵消或相互叠加，因此需根据阵列实际布置情况进行核减。</w:t>
      </w:r>
    </w:p>
    <w:p w14:paraId="5A62A607">
      <w:pPr>
        <w:pStyle w:val="31"/>
        <w:bidi w:val="0"/>
        <w:outlineLvl w:val="1"/>
        <w:rPr>
          <w:rFonts w:hint="eastAsia"/>
          <w:color w:val="auto"/>
          <w:lang w:eastAsia="zh-CN"/>
        </w:rPr>
      </w:pPr>
      <w:bookmarkStart w:id="284" w:name="_Toc1539"/>
      <w:bookmarkStart w:id="285" w:name="_Toc27197"/>
      <w:r>
        <w:rPr>
          <w:rFonts w:hint="eastAsia"/>
          <w:b/>
          <w:bCs/>
          <w:color w:val="auto"/>
          <w:lang w:eastAsia="zh-CN"/>
        </w:rPr>
        <w:t>6. 7</w:t>
      </w:r>
      <w:r>
        <w:rPr>
          <w:rFonts w:hint="eastAsia"/>
          <w:color w:val="auto"/>
          <w:lang w:eastAsia="zh-CN"/>
        </w:rPr>
        <w:t>　光伏支架</w:t>
      </w:r>
      <w:bookmarkEnd w:id="284"/>
      <w:bookmarkEnd w:id="285"/>
    </w:p>
    <w:p w14:paraId="42CD385E">
      <w:pPr>
        <w:pStyle w:val="29"/>
        <w:bidi w:val="0"/>
        <w:rPr>
          <w:rFonts w:hint="eastAsia"/>
          <w:color w:val="auto"/>
          <w:lang w:eastAsia="zh-CN"/>
        </w:rPr>
      </w:pPr>
      <w:r>
        <w:rPr>
          <w:rFonts w:hint="eastAsia"/>
          <w:b/>
          <w:bCs/>
          <w:color w:val="auto"/>
          <w:lang w:eastAsia="zh-CN"/>
        </w:rPr>
        <w:t>6.</w:t>
      </w:r>
      <w:r>
        <w:rPr>
          <w:rFonts w:hint="eastAsia"/>
          <w:b/>
          <w:bCs/>
          <w:color w:val="auto"/>
          <w:lang w:val="en-US" w:eastAsia="zh-CN"/>
        </w:rPr>
        <w:t xml:space="preserve"> </w:t>
      </w:r>
      <w:r>
        <w:rPr>
          <w:rFonts w:hint="eastAsia"/>
          <w:b/>
          <w:bCs/>
          <w:color w:val="auto"/>
          <w:lang w:eastAsia="zh-CN"/>
        </w:rPr>
        <w:t>7.</w:t>
      </w:r>
      <w:r>
        <w:rPr>
          <w:rFonts w:hint="eastAsia"/>
          <w:b/>
          <w:bCs/>
          <w:color w:val="auto"/>
          <w:lang w:val="en-US" w:eastAsia="zh-CN"/>
        </w:rPr>
        <w:t xml:space="preserve"> </w:t>
      </w:r>
      <w:r>
        <w:rPr>
          <w:rFonts w:hint="eastAsia"/>
          <w:b/>
          <w:bCs/>
          <w:color w:val="auto"/>
          <w:lang w:eastAsia="zh-CN"/>
        </w:rPr>
        <w:t>14</w:t>
      </w:r>
      <w:r>
        <w:rPr>
          <w:rFonts w:hint="eastAsia"/>
          <w:color w:val="auto"/>
          <w:lang w:eastAsia="zh-CN"/>
        </w:rPr>
        <w:t>　近些年光伏行业发展迅速，支架种类多样化，此条根据国家标准《光伏发电站设计标准》GB 50797给出了热浸镀锌层的最小平均厚度要求。云南省大气腐蚀性等级通常为C1、C2，根据现行国家行业标准《光伏支架结构设计规程》NB/T 10115的规定，云南省光伏支架热浸镀锌层平均厚度最小值通常采用65μm，但设计过程中应根据实际大气腐蚀性等级确定镀锌层最小平均厚度。例如，工业园区附近等大气污染程度较重的区域，大气腐蚀性等级可能大于C2，此时应根据相关国家及行业标准选取镀锌层最小平均厚度</w:t>
      </w:r>
      <w:bookmarkStart w:id="286" w:name="_GoBack"/>
      <w:bookmarkEnd w:id="286"/>
      <w:r>
        <w:rPr>
          <w:rFonts w:hint="eastAsia"/>
          <w:color w:val="auto"/>
          <w:lang w:eastAsia="zh-CN"/>
        </w:rPr>
        <w:t>。</w:t>
      </w:r>
    </w:p>
    <w:sectPr>
      <w:headerReference r:id="rId8" w:type="default"/>
      <w:footerReference r:id="rId9" w:type="default"/>
      <w:pgSz w:w="11906" w:h="16838"/>
      <w:pgMar w:top="1440" w:right="1531" w:bottom="1440" w:left="1531" w:header="0" w:footer="964" w:gutter="0"/>
      <w:pgNumType w:fmt="decimal" w:start="1"/>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86889">
    <w:pPr>
      <w:tabs>
        <w:tab w:val="center" w:pos="4153"/>
        <w:tab w:val="right" w:pos="8306"/>
      </w:tabs>
      <w:rPr>
        <w:rFonts w:hint="eastAsia" w:ascii="等线" w:hAnsi="等线" w:eastAsia="宋体" w:cs="Times New Roman"/>
        <w:snapToGrid w:val="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92058">
    <w:pPr>
      <w:spacing w:line="177" w:lineRule="auto"/>
      <w:ind w:right="1"/>
      <w:jc w:val="center"/>
      <w:rPr>
        <w:rFonts w:ascii="Times New Roman" w:hAnsi="Times New Roman" w:eastAsia="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85CCB">
    <w:pPr>
      <w:spacing w:line="228" w:lineRule="auto"/>
      <w:rPr>
        <w:rFonts w:ascii="宋体" w:hAnsi="宋体" w:eastAsia="宋体" w:cs="宋体"/>
        <w:sz w:val="17"/>
        <w:szCs w:val="17"/>
      </w:rPr>
    </w:pPr>
    <w:r>
      <w:rPr>
        <w:sz w:val="17"/>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E4924">
                          <w:pPr>
                            <w:pStyle w:val="1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49E4924">
                    <w:pPr>
                      <w:pStyle w:val="1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1A1B3">
    <w:pPr>
      <w:pBdr>
        <w:bottom w:val="none" w:color="auto" w:sz="0" w:space="1"/>
      </w:pBdr>
      <w:tabs>
        <w:tab w:val="center" w:pos="4153"/>
        <w:tab w:val="right" w:pos="8306"/>
      </w:tabs>
      <w:jc w:val="center"/>
      <w:rPr>
        <w:rFonts w:hint="eastAsia" w:ascii="等线" w:hAnsi="等线" w:eastAsia="宋体" w:cs="Times New Roman"/>
        <w:snapToGrid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B3CE0">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FA496"/>
    <w:multiLevelType w:val="singleLevel"/>
    <w:tmpl w:val="AF3FA496"/>
    <w:lvl w:ilvl="0" w:tentative="0">
      <w:start w:val="1"/>
      <w:numFmt w:val="decimal"/>
      <w:lvlText w:val="%1 "/>
      <w:lvlJc w:val="left"/>
      <w:pPr>
        <w:tabs>
          <w:tab w:val="left" w:pos="420"/>
        </w:tabs>
        <w:ind w:left="425" w:leftChars="0" w:hanging="425" w:firstLineChars="0"/>
      </w:pPr>
      <w:rPr>
        <w:rFonts w:hint="default"/>
        <w:b/>
      </w:rPr>
    </w:lvl>
  </w:abstractNum>
  <w:abstractNum w:abstractNumId="1">
    <w:nsid w:val="5BD75C34"/>
    <w:multiLevelType w:val="multilevel"/>
    <w:tmpl w:val="5BD75C34"/>
    <w:lvl w:ilvl="0" w:tentative="0">
      <w:start w:val="1"/>
      <w:numFmt w:val="decimal"/>
      <w:pStyle w:val="2"/>
      <w:lvlText w:val="%1"/>
      <w:lvlJc w:val="left"/>
      <w:pPr>
        <w:tabs>
          <w:tab w:val="left" w:pos="431"/>
        </w:tabs>
        <w:ind w:left="432" w:hanging="432"/>
      </w:pPr>
      <w:rPr>
        <w:rFonts w:hint="default" w:ascii="Times New Roman" w:hAnsi="Times New Roman" w:eastAsia="仿宋_GB2312" w:cs="Times New Roman"/>
        <w:b/>
        <w:bCs/>
        <w:i w:val="0"/>
        <w:color w:val="auto"/>
        <w:spacing w:val="0"/>
        <w:w w:val="100"/>
        <w:position w:val="0"/>
        <w:sz w:val="36"/>
        <w:szCs w:val="44"/>
        <w:u w:val="none"/>
      </w:rPr>
    </w:lvl>
    <w:lvl w:ilvl="1" w:tentative="0">
      <w:start w:val="1"/>
      <w:numFmt w:val="decimal"/>
      <w:pStyle w:val="5"/>
      <w:lvlText w:val="%1.%2"/>
      <w:lvlJc w:val="left"/>
      <w:pPr>
        <w:tabs>
          <w:tab w:val="left" w:pos="576"/>
        </w:tabs>
        <w:ind w:left="1206" w:hanging="576"/>
      </w:pPr>
      <w:rPr>
        <w:rFonts w:hint="default" w:ascii="Arial" w:hAnsi="Arial" w:eastAsia="黑体"/>
        <w:b w:val="0"/>
        <w:bCs/>
        <w:i w:val="0"/>
        <w:strike w:val="0"/>
        <w:dstrike w:val="0"/>
        <w:color w:val="auto"/>
        <w:sz w:val="28"/>
        <w:szCs w:val="28"/>
        <w:u w:val="none"/>
      </w:rPr>
    </w:lvl>
    <w:lvl w:ilvl="2" w:tentative="0">
      <w:start w:val="1"/>
      <w:numFmt w:val="decimal"/>
      <w:pStyle w:val="6"/>
      <w:lvlText w:val="%1.%2.%3"/>
      <w:lvlJc w:val="left"/>
      <w:pPr>
        <w:tabs>
          <w:tab w:val="left" w:pos="1854"/>
        </w:tabs>
        <w:ind w:left="1854" w:hanging="720"/>
      </w:pPr>
      <w:rPr>
        <w:rFonts w:hint="default"/>
        <w:b w:val="0"/>
        <w:bCs w:val="0"/>
        <w:highlight w:val="none"/>
      </w:rPr>
    </w:lvl>
    <w:lvl w:ilvl="3" w:tentative="0">
      <w:start w:val="1"/>
      <w:numFmt w:val="decimal"/>
      <w:pStyle w:val="7"/>
      <w:lvlText w:val="%1.%2.%3.%4"/>
      <w:lvlJc w:val="left"/>
      <w:pPr>
        <w:tabs>
          <w:tab w:val="left" w:pos="298"/>
        </w:tabs>
        <w:ind w:left="298" w:hanging="298"/>
      </w:pPr>
      <w:rPr>
        <w:rFonts w:hint="default" w:ascii="Times New Roman" w:hAnsi="Times New Roman" w:eastAsia="仿宋_GB2312"/>
        <w:b w:val="0"/>
        <w:bCs w:val="0"/>
        <w:i w:val="0"/>
        <w:color w:val="auto"/>
        <w:sz w:val="24"/>
        <w:szCs w:val="24"/>
        <w:u w:val="none"/>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documentProtection w:enforcement="0"/>
  <w:defaultTabStop w:val="420"/>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FB1497"/>
    <w:rsid w:val="00073E2D"/>
    <w:rsid w:val="002C3EC8"/>
    <w:rsid w:val="002D0047"/>
    <w:rsid w:val="00301550"/>
    <w:rsid w:val="003468B6"/>
    <w:rsid w:val="003A2D99"/>
    <w:rsid w:val="00402265"/>
    <w:rsid w:val="00457DFC"/>
    <w:rsid w:val="005749D2"/>
    <w:rsid w:val="005C7B77"/>
    <w:rsid w:val="006D4751"/>
    <w:rsid w:val="00717739"/>
    <w:rsid w:val="00745F91"/>
    <w:rsid w:val="00794219"/>
    <w:rsid w:val="007D35E7"/>
    <w:rsid w:val="00A202A3"/>
    <w:rsid w:val="00A76820"/>
    <w:rsid w:val="00B519F3"/>
    <w:rsid w:val="00B8769F"/>
    <w:rsid w:val="00BC6C90"/>
    <w:rsid w:val="00C44E04"/>
    <w:rsid w:val="00C91961"/>
    <w:rsid w:val="00C97632"/>
    <w:rsid w:val="00E42C9C"/>
    <w:rsid w:val="00EB0762"/>
    <w:rsid w:val="00F02E6F"/>
    <w:rsid w:val="00F2263F"/>
    <w:rsid w:val="00FB1497"/>
    <w:rsid w:val="00FD66E2"/>
    <w:rsid w:val="03041054"/>
    <w:rsid w:val="032C322C"/>
    <w:rsid w:val="03673793"/>
    <w:rsid w:val="03795D96"/>
    <w:rsid w:val="038672A3"/>
    <w:rsid w:val="0493234F"/>
    <w:rsid w:val="04E5147B"/>
    <w:rsid w:val="04EB0520"/>
    <w:rsid w:val="05314DF5"/>
    <w:rsid w:val="055B53DC"/>
    <w:rsid w:val="05EC36F9"/>
    <w:rsid w:val="06111990"/>
    <w:rsid w:val="063E4AA0"/>
    <w:rsid w:val="064C5D06"/>
    <w:rsid w:val="06830401"/>
    <w:rsid w:val="07CE6909"/>
    <w:rsid w:val="07F45A3F"/>
    <w:rsid w:val="08513CCE"/>
    <w:rsid w:val="08B32E54"/>
    <w:rsid w:val="08BB418E"/>
    <w:rsid w:val="093773A0"/>
    <w:rsid w:val="09DF5DF8"/>
    <w:rsid w:val="0A433A3E"/>
    <w:rsid w:val="0A7814BB"/>
    <w:rsid w:val="0A922065"/>
    <w:rsid w:val="0B722742"/>
    <w:rsid w:val="0C1C7271"/>
    <w:rsid w:val="0C5F15C0"/>
    <w:rsid w:val="0CB45284"/>
    <w:rsid w:val="0D1970CD"/>
    <w:rsid w:val="0D486C19"/>
    <w:rsid w:val="0D552B6D"/>
    <w:rsid w:val="0D9F5786"/>
    <w:rsid w:val="0DC82715"/>
    <w:rsid w:val="0E485064"/>
    <w:rsid w:val="0F784EFC"/>
    <w:rsid w:val="0FB32013"/>
    <w:rsid w:val="0FDC612F"/>
    <w:rsid w:val="10B7227A"/>
    <w:rsid w:val="10C4443F"/>
    <w:rsid w:val="11524B72"/>
    <w:rsid w:val="119C68D6"/>
    <w:rsid w:val="12024F34"/>
    <w:rsid w:val="12473EA4"/>
    <w:rsid w:val="12970FE0"/>
    <w:rsid w:val="130677CC"/>
    <w:rsid w:val="130D07C3"/>
    <w:rsid w:val="134F1F3F"/>
    <w:rsid w:val="13526D0E"/>
    <w:rsid w:val="143718FD"/>
    <w:rsid w:val="143A53BF"/>
    <w:rsid w:val="144B7858"/>
    <w:rsid w:val="14D13105"/>
    <w:rsid w:val="15060EBD"/>
    <w:rsid w:val="15604961"/>
    <w:rsid w:val="157548EE"/>
    <w:rsid w:val="16233DAF"/>
    <w:rsid w:val="16A617D8"/>
    <w:rsid w:val="16BC5498"/>
    <w:rsid w:val="16E9024D"/>
    <w:rsid w:val="16EB2510"/>
    <w:rsid w:val="171B5478"/>
    <w:rsid w:val="17BC06D4"/>
    <w:rsid w:val="17C1481A"/>
    <w:rsid w:val="17D63EA1"/>
    <w:rsid w:val="1842188D"/>
    <w:rsid w:val="18757586"/>
    <w:rsid w:val="18D77146"/>
    <w:rsid w:val="190D17E0"/>
    <w:rsid w:val="19FA25FA"/>
    <w:rsid w:val="1A400152"/>
    <w:rsid w:val="1A4D07B2"/>
    <w:rsid w:val="1A861D4A"/>
    <w:rsid w:val="1AB64888"/>
    <w:rsid w:val="1BBF6D24"/>
    <w:rsid w:val="1BC16CEB"/>
    <w:rsid w:val="1BD334C2"/>
    <w:rsid w:val="1BEC28A5"/>
    <w:rsid w:val="1C41576A"/>
    <w:rsid w:val="1C681836"/>
    <w:rsid w:val="1CE8459C"/>
    <w:rsid w:val="1D272722"/>
    <w:rsid w:val="1DA503D9"/>
    <w:rsid w:val="1DD65800"/>
    <w:rsid w:val="1EFF4A54"/>
    <w:rsid w:val="2027280B"/>
    <w:rsid w:val="20FD05AB"/>
    <w:rsid w:val="21477726"/>
    <w:rsid w:val="21B56A00"/>
    <w:rsid w:val="22863CDD"/>
    <w:rsid w:val="22960077"/>
    <w:rsid w:val="22A92B2B"/>
    <w:rsid w:val="231870CB"/>
    <w:rsid w:val="23383361"/>
    <w:rsid w:val="234049D4"/>
    <w:rsid w:val="24127330"/>
    <w:rsid w:val="247328ED"/>
    <w:rsid w:val="247B0340"/>
    <w:rsid w:val="25847A9B"/>
    <w:rsid w:val="25CF3E58"/>
    <w:rsid w:val="265B0373"/>
    <w:rsid w:val="276B410B"/>
    <w:rsid w:val="27CE64E0"/>
    <w:rsid w:val="28400C18"/>
    <w:rsid w:val="28725935"/>
    <w:rsid w:val="28804FC7"/>
    <w:rsid w:val="293255F6"/>
    <w:rsid w:val="295D22E9"/>
    <w:rsid w:val="2990685F"/>
    <w:rsid w:val="29AC3DA5"/>
    <w:rsid w:val="29F87F6A"/>
    <w:rsid w:val="2A226BEF"/>
    <w:rsid w:val="2A4122E4"/>
    <w:rsid w:val="2A7F2B95"/>
    <w:rsid w:val="2AA74134"/>
    <w:rsid w:val="2AC40F3D"/>
    <w:rsid w:val="2AE74672"/>
    <w:rsid w:val="2AFC15D7"/>
    <w:rsid w:val="2B6D0A72"/>
    <w:rsid w:val="2BE82ACF"/>
    <w:rsid w:val="2C283A81"/>
    <w:rsid w:val="2D190E0B"/>
    <w:rsid w:val="2D331041"/>
    <w:rsid w:val="2D5E35E4"/>
    <w:rsid w:val="2D6C7B17"/>
    <w:rsid w:val="2DB42C23"/>
    <w:rsid w:val="2E7B144D"/>
    <w:rsid w:val="2E7C2C51"/>
    <w:rsid w:val="2E8E01F7"/>
    <w:rsid w:val="2F265A77"/>
    <w:rsid w:val="3133601F"/>
    <w:rsid w:val="3178005E"/>
    <w:rsid w:val="31D23601"/>
    <w:rsid w:val="31DB3395"/>
    <w:rsid w:val="32294D01"/>
    <w:rsid w:val="330079FF"/>
    <w:rsid w:val="3350419B"/>
    <w:rsid w:val="3362665C"/>
    <w:rsid w:val="338227CF"/>
    <w:rsid w:val="33B379C7"/>
    <w:rsid w:val="35637F31"/>
    <w:rsid w:val="358C0E67"/>
    <w:rsid w:val="35EE6361"/>
    <w:rsid w:val="35F65B52"/>
    <w:rsid w:val="3607142D"/>
    <w:rsid w:val="364D76FC"/>
    <w:rsid w:val="36775FE7"/>
    <w:rsid w:val="36E67880"/>
    <w:rsid w:val="37967B7B"/>
    <w:rsid w:val="379C42D0"/>
    <w:rsid w:val="379F15CD"/>
    <w:rsid w:val="37C87280"/>
    <w:rsid w:val="3812304E"/>
    <w:rsid w:val="38344CBB"/>
    <w:rsid w:val="38944BB9"/>
    <w:rsid w:val="390C0FAA"/>
    <w:rsid w:val="3A4B569E"/>
    <w:rsid w:val="3ACA3C80"/>
    <w:rsid w:val="3B0D1AAA"/>
    <w:rsid w:val="3BD801D5"/>
    <w:rsid w:val="3BD8701E"/>
    <w:rsid w:val="3D2F4B42"/>
    <w:rsid w:val="3D5E16BB"/>
    <w:rsid w:val="3D8B5605"/>
    <w:rsid w:val="3DD2747B"/>
    <w:rsid w:val="3E36391C"/>
    <w:rsid w:val="3E3A6FC3"/>
    <w:rsid w:val="3EB93E5D"/>
    <w:rsid w:val="3EEC7BC8"/>
    <w:rsid w:val="3FDB02BB"/>
    <w:rsid w:val="3FDB05A1"/>
    <w:rsid w:val="41106239"/>
    <w:rsid w:val="41CA6F8A"/>
    <w:rsid w:val="42364173"/>
    <w:rsid w:val="424A4364"/>
    <w:rsid w:val="4395506D"/>
    <w:rsid w:val="43C761F7"/>
    <w:rsid w:val="43D355A1"/>
    <w:rsid w:val="4442061F"/>
    <w:rsid w:val="448D7804"/>
    <w:rsid w:val="44A83C31"/>
    <w:rsid w:val="44B84EC8"/>
    <w:rsid w:val="44E51517"/>
    <w:rsid w:val="4517434D"/>
    <w:rsid w:val="45AB6FC9"/>
    <w:rsid w:val="45D65A12"/>
    <w:rsid w:val="461060D5"/>
    <w:rsid w:val="469D45F0"/>
    <w:rsid w:val="46B1045D"/>
    <w:rsid w:val="46BE438B"/>
    <w:rsid w:val="46FD02A8"/>
    <w:rsid w:val="471773CA"/>
    <w:rsid w:val="47607B2B"/>
    <w:rsid w:val="478B4C6E"/>
    <w:rsid w:val="47BD1A16"/>
    <w:rsid w:val="48334C1A"/>
    <w:rsid w:val="48EF1509"/>
    <w:rsid w:val="4A4817A0"/>
    <w:rsid w:val="4A8073FC"/>
    <w:rsid w:val="4A8D15A5"/>
    <w:rsid w:val="4ABB0329"/>
    <w:rsid w:val="4ABD1953"/>
    <w:rsid w:val="4ADB665F"/>
    <w:rsid w:val="4AF17336"/>
    <w:rsid w:val="4C3D52B1"/>
    <w:rsid w:val="4C7D3168"/>
    <w:rsid w:val="4D1430F4"/>
    <w:rsid w:val="4D3C7D2E"/>
    <w:rsid w:val="4ECB3051"/>
    <w:rsid w:val="4EF7302E"/>
    <w:rsid w:val="4F1E2275"/>
    <w:rsid w:val="4F3C2FF7"/>
    <w:rsid w:val="4F8F6349"/>
    <w:rsid w:val="4FAC4958"/>
    <w:rsid w:val="4FCE552B"/>
    <w:rsid w:val="503608B6"/>
    <w:rsid w:val="50AA5E76"/>
    <w:rsid w:val="512576D2"/>
    <w:rsid w:val="514B33AB"/>
    <w:rsid w:val="51AD6454"/>
    <w:rsid w:val="51BF7ABB"/>
    <w:rsid w:val="52477B70"/>
    <w:rsid w:val="525635A3"/>
    <w:rsid w:val="5326586B"/>
    <w:rsid w:val="535F6BE4"/>
    <w:rsid w:val="53885FA2"/>
    <w:rsid w:val="53AB43E7"/>
    <w:rsid w:val="54216F96"/>
    <w:rsid w:val="55DC7E40"/>
    <w:rsid w:val="56056BB9"/>
    <w:rsid w:val="561B17C3"/>
    <w:rsid w:val="56956EE1"/>
    <w:rsid w:val="577E726B"/>
    <w:rsid w:val="57A7400D"/>
    <w:rsid w:val="57C67257"/>
    <w:rsid w:val="57D93B7D"/>
    <w:rsid w:val="584C035A"/>
    <w:rsid w:val="586E02D0"/>
    <w:rsid w:val="588A2BAD"/>
    <w:rsid w:val="59676394"/>
    <w:rsid w:val="59BB43FC"/>
    <w:rsid w:val="5A1E4BE6"/>
    <w:rsid w:val="5A5139AC"/>
    <w:rsid w:val="5A9A5537"/>
    <w:rsid w:val="5AC6337D"/>
    <w:rsid w:val="5B302583"/>
    <w:rsid w:val="5C8545F1"/>
    <w:rsid w:val="5D1145C2"/>
    <w:rsid w:val="5D6E241A"/>
    <w:rsid w:val="5DCF4E6D"/>
    <w:rsid w:val="5DE22614"/>
    <w:rsid w:val="5E685532"/>
    <w:rsid w:val="5E764CC3"/>
    <w:rsid w:val="5E7C4C50"/>
    <w:rsid w:val="5E8607C5"/>
    <w:rsid w:val="60C8239C"/>
    <w:rsid w:val="61725386"/>
    <w:rsid w:val="618E08A1"/>
    <w:rsid w:val="618E54C4"/>
    <w:rsid w:val="61D53A46"/>
    <w:rsid w:val="626B27B2"/>
    <w:rsid w:val="62805827"/>
    <w:rsid w:val="62864468"/>
    <w:rsid w:val="633B1226"/>
    <w:rsid w:val="63890EB5"/>
    <w:rsid w:val="639D7509"/>
    <w:rsid w:val="64766E58"/>
    <w:rsid w:val="649417DE"/>
    <w:rsid w:val="64E805B1"/>
    <w:rsid w:val="65677E14"/>
    <w:rsid w:val="661E61AB"/>
    <w:rsid w:val="66782921"/>
    <w:rsid w:val="6681333E"/>
    <w:rsid w:val="668860CB"/>
    <w:rsid w:val="670D28C0"/>
    <w:rsid w:val="6794289A"/>
    <w:rsid w:val="68264104"/>
    <w:rsid w:val="68DC0B92"/>
    <w:rsid w:val="69426BBF"/>
    <w:rsid w:val="69C0748D"/>
    <w:rsid w:val="6A464B0A"/>
    <w:rsid w:val="6B227D73"/>
    <w:rsid w:val="6B3D44FB"/>
    <w:rsid w:val="6C8475E7"/>
    <w:rsid w:val="6D282CEC"/>
    <w:rsid w:val="6DF06FD3"/>
    <w:rsid w:val="6E50441D"/>
    <w:rsid w:val="6EAD5C94"/>
    <w:rsid w:val="6F9D49A7"/>
    <w:rsid w:val="704032BB"/>
    <w:rsid w:val="704760C2"/>
    <w:rsid w:val="70C85717"/>
    <w:rsid w:val="70D127A3"/>
    <w:rsid w:val="70E54D5E"/>
    <w:rsid w:val="71473A79"/>
    <w:rsid w:val="719E14E3"/>
    <w:rsid w:val="71B936E0"/>
    <w:rsid w:val="72712D64"/>
    <w:rsid w:val="72D36339"/>
    <w:rsid w:val="7323321A"/>
    <w:rsid w:val="732A3911"/>
    <w:rsid w:val="733A5F96"/>
    <w:rsid w:val="73582E65"/>
    <w:rsid w:val="7375627A"/>
    <w:rsid w:val="73960384"/>
    <w:rsid w:val="73FC160B"/>
    <w:rsid w:val="75485668"/>
    <w:rsid w:val="756634D1"/>
    <w:rsid w:val="75723AC4"/>
    <w:rsid w:val="76017EF2"/>
    <w:rsid w:val="76370D2E"/>
    <w:rsid w:val="76BF50C2"/>
    <w:rsid w:val="779905B2"/>
    <w:rsid w:val="78753975"/>
    <w:rsid w:val="78BB67B8"/>
    <w:rsid w:val="78D26023"/>
    <w:rsid w:val="792E7984"/>
    <w:rsid w:val="79423456"/>
    <w:rsid w:val="7A3A2993"/>
    <w:rsid w:val="7AFD5B6A"/>
    <w:rsid w:val="7C267376"/>
    <w:rsid w:val="7C5E7EE8"/>
    <w:rsid w:val="7C645601"/>
    <w:rsid w:val="7D38217E"/>
    <w:rsid w:val="7D641D5B"/>
    <w:rsid w:val="7DC73FEB"/>
    <w:rsid w:val="7E176F02"/>
    <w:rsid w:val="7E275C18"/>
    <w:rsid w:val="7E2E230E"/>
    <w:rsid w:val="7E481BFF"/>
    <w:rsid w:val="7E505821"/>
    <w:rsid w:val="7E7A3A8F"/>
    <w:rsid w:val="7E8E0581"/>
    <w:rsid w:val="7EBE327E"/>
    <w:rsid w:val="7EFA5662"/>
    <w:rsid w:val="7F1C1936"/>
    <w:rsid w:val="7F895774"/>
    <w:rsid w:val="7FA41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djustRightInd w:val="0"/>
      <w:snapToGrid w:val="0"/>
      <w:spacing w:line="360" w:lineRule="auto"/>
      <w:textAlignment w:val="baseline"/>
    </w:pPr>
    <w:rPr>
      <w:rFonts w:ascii="Arial" w:hAnsi="Arial" w:eastAsia="方正仿宋_GB2312" w:cs="Arial"/>
      <w:snapToGrid w:val="0"/>
      <w:color w:val="000000"/>
      <w:sz w:val="32"/>
      <w:szCs w:val="21"/>
      <w:lang w:val="en-US" w:eastAsia="en-US" w:bidi="ar-SA"/>
    </w:rPr>
  </w:style>
  <w:style w:type="paragraph" w:styleId="2">
    <w:name w:val="heading 1"/>
    <w:basedOn w:val="1"/>
    <w:next w:val="3"/>
    <w:qFormat/>
    <w:uiPriority w:val="0"/>
    <w:pPr>
      <w:keepNext/>
      <w:keepLines/>
      <w:numPr>
        <w:ilvl w:val="0"/>
        <w:numId w:val="1"/>
      </w:numPr>
      <w:spacing w:before="120" w:after="120"/>
      <w:ind w:left="431" w:hanging="431"/>
      <w:outlineLvl w:val="0"/>
    </w:pPr>
    <w:rPr>
      <w:rFonts w:eastAsia="仿宋_GB2312" w:cs="Times New Roman"/>
      <w:b/>
      <w:bCs/>
      <w:kern w:val="44"/>
      <w:sz w:val="36"/>
      <w:szCs w:val="44"/>
    </w:rPr>
  </w:style>
  <w:style w:type="paragraph" w:styleId="5">
    <w:name w:val="heading 2"/>
    <w:basedOn w:val="1"/>
    <w:next w:val="3"/>
    <w:unhideWhenUsed/>
    <w:qFormat/>
    <w:uiPriority w:val="0"/>
    <w:pPr>
      <w:keepNext/>
      <w:keepLines/>
      <w:numPr>
        <w:ilvl w:val="1"/>
        <w:numId w:val="1"/>
      </w:numPr>
      <w:spacing w:before="120" w:after="120"/>
      <w:ind w:left="0" w:firstLine="0"/>
      <w:jc w:val="center"/>
      <w:textAlignment w:val="center"/>
      <w:outlineLvl w:val="1"/>
    </w:pPr>
    <w:rPr>
      <w:rFonts w:eastAsia="仿宋_GB2312"/>
      <w:b/>
    </w:rPr>
  </w:style>
  <w:style w:type="paragraph" w:styleId="6">
    <w:name w:val="heading 3"/>
    <w:basedOn w:val="1"/>
    <w:next w:val="3"/>
    <w:link w:val="23"/>
    <w:unhideWhenUsed/>
    <w:qFormat/>
    <w:uiPriority w:val="0"/>
    <w:pPr>
      <w:widowControl w:val="0"/>
      <w:numPr>
        <w:ilvl w:val="2"/>
        <w:numId w:val="1"/>
      </w:numPr>
      <w:tabs>
        <w:tab w:val="clear" w:pos="1854"/>
      </w:tabs>
      <w:kinsoku/>
      <w:wordWrap w:val="0"/>
      <w:ind w:left="0" w:firstLine="0"/>
      <w:outlineLvl w:val="2"/>
    </w:pPr>
    <w:rPr>
      <w:rFonts w:ascii="Times New Roman" w:hAnsi="Times New Roman"/>
      <w:szCs w:val="32"/>
    </w:rPr>
  </w:style>
  <w:style w:type="paragraph" w:styleId="7">
    <w:name w:val="heading 4"/>
    <w:basedOn w:val="1"/>
    <w:next w:val="1"/>
    <w:semiHidden/>
    <w:unhideWhenUsed/>
    <w:qFormat/>
    <w:uiPriority w:val="0"/>
    <w:pPr>
      <w:widowControl w:val="0"/>
      <w:numPr>
        <w:ilvl w:val="3"/>
        <w:numId w:val="1"/>
      </w:numPr>
      <w:tabs>
        <w:tab w:val="left" w:pos="863"/>
      </w:tabs>
      <w:spacing w:before="240"/>
      <w:outlineLvl w:val="3"/>
    </w:pPr>
    <w:rPr>
      <w:rFonts w:ascii="Times New Roman" w:hAnsi="Times New Roman" w:eastAsia="仿宋_GB2312"/>
      <w:b/>
      <w:sz w:val="24"/>
      <w:szCs w:val="24"/>
    </w:rPr>
  </w:style>
  <w:style w:type="paragraph" w:styleId="8">
    <w:name w:val="heading 6"/>
    <w:basedOn w:val="1"/>
    <w:next w:val="1"/>
    <w:semiHidden/>
    <w:unhideWhenUsed/>
    <w:qFormat/>
    <w:uiPriority w:val="0"/>
    <w:pPr>
      <w:keepNext/>
      <w:keepLines/>
      <w:numPr>
        <w:ilvl w:val="5"/>
        <w:numId w:val="1"/>
      </w:numPr>
      <w:spacing w:before="240" w:after="64" w:line="317" w:lineRule="auto"/>
      <w:outlineLvl w:val="5"/>
    </w:pPr>
    <w:rPr>
      <w:rFonts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outlineLvl w:val="7"/>
    </w:pPr>
    <w:rPr>
      <w:rFonts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outlineLvl w:val="8"/>
    </w:pPr>
    <w:rPr>
      <w:rFonts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Body Text First Indent 2"/>
    <w:basedOn w:val="4"/>
    <w:next w:val="1"/>
    <w:qFormat/>
    <w:uiPriority w:val="99"/>
    <w:pPr>
      <w:spacing w:after="0"/>
      <w:ind w:left="0" w:leftChars="0"/>
    </w:pPr>
    <w:rPr>
      <w:rFonts w:hint="eastAsia"/>
    </w:rPr>
  </w:style>
  <w:style w:type="paragraph" w:styleId="4">
    <w:name w:val="Body Text Indent"/>
    <w:basedOn w:val="1"/>
    <w:next w:val="1"/>
    <w:qFormat/>
    <w:uiPriority w:val="0"/>
    <w:pPr>
      <w:spacing w:after="120"/>
      <w:ind w:left="420" w:leftChars="200"/>
    </w:pPr>
  </w:style>
  <w:style w:type="paragraph" w:styleId="12">
    <w:name w:val="annotation text"/>
    <w:basedOn w:val="1"/>
    <w:qFormat/>
    <w:uiPriority w:val="0"/>
  </w:style>
  <w:style w:type="paragraph" w:styleId="13">
    <w:name w:val="Body Text"/>
    <w:basedOn w:val="1"/>
    <w:semiHidden/>
    <w:qFormat/>
    <w:uiPriority w:val="0"/>
    <w:rPr>
      <w:rFonts w:ascii="黑体" w:hAnsi="黑体" w:eastAsia="黑体" w:cs="黑体"/>
      <w:sz w:val="28"/>
      <w:szCs w:val="28"/>
    </w:rPr>
  </w:style>
  <w:style w:type="paragraph" w:styleId="14">
    <w:name w:val="footer"/>
    <w:basedOn w:val="1"/>
    <w:qFormat/>
    <w:uiPriority w:val="0"/>
    <w:pPr>
      <w:tabs>
        <w:tab w:val="center" w:pos="4153"/>
        <w:tab w:val="right" w:pos="8306"/>
      </w:tabs>
      <w:spacing w:line="240" w:lineRule="auto"/>
    </w:pPr>
    <w:rPr>
      <w:rFonts w:ascii="Times New Roman" w:hAnsi="Times New Roman" w:eastAsia="宋体" w:cs="Calibri"/>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jc w:val="both"/>
    </w:pPr>
    <w:rPr>
      <w:sz w:val="18"/>
    </w:rPr>
  </w:style>
  <w:style w:type="paragraph" w:styleId="16">
    <w:name w:val="toc 1"/>
    <w:basedOn w:val="1"/>
    <w:next w:val="1"/>
    <w:qFormat/>
    <w:uiPriority w:val="0"/>
    <w:pPr>
      <w:spacing w:before="120" w:line="400" w:lineRule="exact"/>
    </w:pPr>
    <w:rPr>
      <w:rFonts w:ascii="Times New Roman" w:hAnsi="Times New Roman" w:eastAsia="黑体"/>
      <w:bCs/>
      <w:caps/>
      <w:sz w:val="28"/>
      <w:szCs w:val="22"/>
    </w:rPr>
  </w:style>
  <w:style w:type="paragraph" w:styleId="17">
    <w:name w:val="toc 2"/>
    <w:basedOn w:val="1"/>
    <w:next w:val="1"/>
    <w:qFormat/>
    <w:uiPriority w:val="0"/>
    <w:pPr>
      <w:spacing w:line="400" w:lineRule="exact"/>
      <w:ind w:left="200" w:leftChars="200"/>
    </w:pPr>
    <w:rPr>
      <w:rFonts w:ascii="Times New Roman" w:hAnsi="Times New Roman" w:eastAsia="黑体"/>
      <w:bCs/>
      <w:smallCaps/>
      <w:sz w:val="24"/>
      <w:szCs w:val="22"/>
    </w:rPr>
  </w:style>
  <w:style w:type="paragraph" w:styleId="18">
    <w:name w:val="Normal (Web)"/>
    <w:basedOn w:val="1"/>
    <w:unhideWhenUsed/>
    <w:qFormat/>
    <w:uiPriority w:val="99"/>
    <w:pPr>
      <w:kinsoku/>
      <w:adjustRightInd/>
      <w:snapToGrid/>
      <w:spacing w:after="225"/>
      <w:ind w:firstLine="480"/>
      <w:textAlignment w:val="auto"/>
    </w:pPr>
    <w:rPr>
      <w:rFonts w:ascii="宋体" w:hAnsi="宋体" w:eastAsia="宋体" w:cs="宋体"/>
      <w:snapToGrid/>
      <w:color w:val="auto"/>
      <w:sz w:val="24"/>
      <w:szCs w:val="24"/>
      <w:lang w:eastAsia="zh-CN"/>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annotation reference"/>
    <w:basedOn w:val="21"/>
    <w:qFormat/>
    <w:uiPriority w:val="0"/>
    <w:rPr>
      <w:sz w:val="21"/>
      <w:szCs w:val="21"/>
    </w:rPr>
  </w:style>
  <w:style w:type="character" w:customStyle="1" w:styleId="23">
    <w:name w:val="标题 3 字符"/>
    <w:link w:val="6"/>
    <w:qFormat/>
    <w:uiPriority w:val="0"/>
    <w:rPr>
      <w:rFonts w:ascii="Times New Roman" w:hAnsi="Times New Roman" w:eastAsia="方正仿宋_GB2312"/>
      <w:sz w:val="32"/>
      <w:szCs w:val="32"/>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17"/>
      <w:szCs w:val="17"/>
    </w:rPr>
  </w:style>
  <w:style w:type="paragraph" w:customStyle="1" w:styleId="26">
    <w:name w:val="表中文字"/>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paragraph" w:styleId="27">
    <w:name w:val="List Paragraph"/>
    <w:basedOn w:val="1"/>
    <w:link w:val="28"/>
    <w:qFormat/>
    <w:uiPriority w:val="99"/>
    <w:pPr>
      <w:widowControl w:val="0"/>
      <w:kinsoku/>
      <w:wordWrap w:val="0"/>
      <w:ind w:firstLine="883" w:firstLineChars="200"/>
      <w:jc w:val="both"/>
    </w:pPr>
    <w:rPr>
      <w:rFonts w:ascii="Times New Roman" w:hAnsi="Times New Roman" w:cs="Times New Roman"/>
      <w:szCs w:val="32"/>
    </w:rPr>
  </w:style>
  <w:style w:type="character" w:customStyle="1" w:styleId="28">
    <w:name w:val="列出段落 字符"/>
    <w:link w:val="27"/>
    <w:qFormat/>
    <w:uiPriority w:val="99"/>
    <w:rPr>
      <w:rFonts w:ascii="Times New Roman" w:hAnsi="Times New Roman" w:eastAsia="方正仿宋_GB2312" w:cs="Times New Roman"/>
      <w:szCs w:val="32"/>
    </w:rPr>
  </w:style>
  <w:style w:type="paragraph" w:customStyle="1" w:styleId="29">
    <w:name w:val="标准正文"/>
    <w:basedOn w:val="1"/>
    <w:qFormat/>
    <w:uiPriority w:val="0"/>
    <w:pPr>
      <w:jc w:val="both"/>
    </w:pPr>
    <w:rPr>
      <w:rFonts w:ascii="Times New Roman" w:hAnsi="Times New Roman" w:eastAsia="宋体" w:cs="Times New Roman"/>
      <w:kern w:val="44"/>
      <w:sz w:val="28"/>
      <w:szCs w:val="28"/>
    </w:rPr>
  </w:style>
  <w:style w:type="paragraph" w:customStyle="1" w:styleId="30">
    <w:name w:val="标准一级标题"/>
    <w:basedOn w:val="1"/>
    <w:qFormat/>
    <w:uiPriority w:val="0"/>
    <w:pPr>
      <w:autoSpaceDE/>
      <w:autoSpaceDN/>
      <w:spacing w:after="100" w:afterLines="100"/>
      <w:jc w:val="center"/>
    </w:pPr>
    <w:rPr>
      <w:rFonts w:ascii="Times New Roman" w:hAnsi="Times New Roman" w:eastAsia="宋体" w:cs="Times New Roman"/>
      <w:sz w:val="44"/>
      <w:szCs w:val="44"/>
    </w:rPr>
  </w:style>
  <w:style w:type="paragraph" w:customStyle="1" w:styleId="31">
    <w:name w:val="标准二级标题"/>
    <w:basedOn w:val="1"/>
    <w:qFormat/>
    <w:uiPriority w:val="0"/>
    <w:pPr>
      <w:autoSpaceDE/>
      <w:autoSpaceDN/>
      <w:spacing w:before="100" w:beforeLines="100" w:after="100" w:afterLines="100"/>
      <w:jc w:val="center"/>
    </w:pPr>
    <w:rPr>
      <w:rFonts w:ascii="Times New Roman" w:hAnsi="Times New Roman" w:eastAsia="黑体" w:cs="Times New Roman"/>
      <w:szCs w:val="32"/>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1856</Words>
  <Characters>2414</Characters>
  <Lines>191</Lines>
  <Paragraphs>53</Paragraphs>
  <TotalTime>7</TotalTime>
  <ScaleCrop>false</ScaleCrop>
  <LinksUpToDate>false</LinksUpToDate>
  <CharactersWithSpaces>2755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2025-07-07T11:56:00Z</dcterms:created>
  <dc:creator>wukechao</dc:creator>
  <cp:lastModifiedBy>Administrator</cp:lastModifiedBy>
  <dcterms:modified xsi:type="dcterms:W3CDTF">2026-08-26T02:55:05Z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2025-07-07T11:56:53Z</vt:filetime>
  </property>
  <property fmtid="{D5CDD505-2E9C-101B-9397-08002B2CF9AE}" pid="4" name="UsrData">
    <vt:lpwstr>686b456f5db5bb001fb54fbawl</vt:lpwstr>
  </property>
  <property fmtid="{D5CDD505-2E9C-101B-9397-08002B2CF9AE}" pid="5" name="KSOTemplateDocerSaveRecord">
    <vt:lpwstr>eyJoZGlkIjoiYjFkNTdlMDY5OWJiMjM3MWE2NDVlZGY5NWNkMzg1MDciLCJ1c2VySWQiOiI3MDk5Mjc0MTAifQ==</vt:lpwstr>
  </property>
  <property fmtid="{D5CDD505-2E9C-101B-9397-08002B2CF9AE}" pid="6" name="KSOProductBuildVer">
    <vt:lpwstr>2052-12.1.0.26899</vt:lpwstr>
  </property>
  <property fmtid="{D5CDD505-2E9C-101B-9397-08002B2CF9AE}" pid="7" name="ICV">
    <vt:lpwstr>8F8CDC39CE9648A9BFD0CEBB4DB9F64B_13</vt:lpwstr>
  </property>
</Properties>
</file>