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6CF7D">
      <w:pPr>
        <w:widowControl/>
        <w:autoSpaceDE/>
        <w:autoSpaceDN/>
        <w:ind w:firstLine="640" w:firstLineChars="200"/>
        <w:jc w:val="center"/>
        <w:rPr>
          <w:rFonts w:eastAsia="宋体" w:cs="Times New Roman"/>
          <w:snapToGrid w:val="0"/>
          <w:kern w:val="0"/>
          <w:sz w:val="144"/>
          <w:szCs w:val="36"/>
        </w:rPr>
      </w:pPr>
      <w:r>
        <w:rPr>
          <w:rFonts w:hint="eastAsia" w:ascii="黑体" w:hAnsi="黑体" w:eastAsia="黑体" w:cs="黑体"/>
          <w:snapToGrid w:val="0"/>
          <w:kern w:val="0"/>
          <w:sz w:val="32"/>
          <w:szCs w:val="32"/>
        </w:rPr>
        <w:t xml:space="preserve">云南省工程建设地方标准　      </w:t>
      </w:r>
      <w:r>
        <w:rPr>
          <w:rFonts w:eastAsia="Times New Roman" w:cs="Times New Roman"/>
          <w:b/>
          <w:bCs/>
          <w:snapToGrid w:val="0"/>
          <w:kern w:val="0"/>
          <w:sz w:val="72"/>
        </w:rPr>
        <w:t>DB</w:t>
      </w:r>
    </w:p>
    <w:p w14:paraId="73865D2B">
      <w:pPr>
        <w:autoSpaceDE/>
        <w:autoSpaceDN/>
        <w:ind w:right="136"/>
        <w:jc w:val="right"/>
      </w:pPr>
      <w:r>
        <w:rPr>
          <w:rFonts w:hint="default" w:ascii="Times New Roman" w:hAnsi="Times New Roman" w:eastAsia="华文仿宋" w:cs="Times New Roman"/>
          <w:snapToGrid w:val="0"/>
          <w:spacing w:val="-2"/>
          <w:sz w:val="28"/>
          <w:szCs w:val="28"/>
        </w:rPr>
        <w:t>DBJ 53/T-</w:t>
      </w:r>
      <w:r>
        <w:rPr>
          <w:rFonts w:hint="eastAsia" w:ascii="Times New Roman" w:hAnsi="Times New Roman" w:eastAsia="华文仿宋" w:cs="Times New Roman"/>
          <w:snapToGrid w:val="0"/>
          <w:spacing w:val="-2"/>
          <w:sz w:val="28"/>
          <w:szCs w:val="28"/>
          <w:lang w:val="en-US" w:eastAsia="zh-CN"/>
        </w:rPr>
        <w:t>XXX</w:t>
      </w:r>
      <w:r>
        <w:rPr>
          <w:rFonts w:hint="default" w:ascii="Times New Roman" w:hAnsi="Times New Roman" w:eastAsia="华文仿宋" w:cs="Times New Roman"/>
          <w:snapToGrid w:val="0"/>
          <w:spacing w:val="-2"/>
          <w:sz w:val="28"/>
          <w:szCs w:val="28"/>
        </w:rPr>
        <w:t>-</w:t>
      </w:r>
      <w:r>
        <w:rPr>
          <w:rFonts w:hint="eastAsia" w:ascii="Times New Roman" w:hAnsi="Times New Roman" w:eastAsia="华文仿宋" w:cs="Times New Roman"/>
          <w:snapToGrid w:val="0"/>
          <w:spacing w:val="-2"/>
          <w:sz w:val="28"/>
          <w:szCs w:val="28"/>
          <w:lang w:val="en-US" w:eastAsia="zh-CN"/>
        </w:rPr>
        <w:t>XXXX</w:t>
      </w:r>
    </w:p>
    <w:p w14:paraId="65DF93CB">
      <w:pPr>
        <w:autoSpaceDE/>
        <w:autoSpaceDN/>
        <w:ind w:right="136"/>
        <w:jc w:val="right"/>
        <w:rPr>
          <w:rFonts w:hint="default" w:ascii="楷体_GB2312" w:eastAsia="楷体_GB2312"/>
          <w:b/>
          <w:bCs/>
          <w:sz w:val="32"/>
          <w:szCs w:val="36"/>
          <w:highlight w:val="none"/>
          <w:u w:val="none"/>
          <w:lang w:val="en-US" w:eastAsia="zh-CN"/>
        </w:rPr>
      </w:pPr>
      <w:r>
        <w:rPr>
          <w:rFonts w:hint="default" w:ascii="Times New Roman" w:hAnsi="Times New Roman" w:eastAsia="宋体" w:cs="Times New Roman"/>
          <w:snapToGrid w:val="0"/>
          <w:spacing w:val="-2"/>
          <w:sz w:val="28"/>
          <w:szCs w:val="28"/>
        </w:rPr>
        <w:t>备案号：</w:t>
      </w:r>
      <w:r>
        <w:rPr>
          <w:rFonts w:hint="eastAsia" w:ascii="Times New Roman" w:hAnsi="Times New Roman" w:eastAsia="宋体" w:cs="Times New Roman"/>
          <w:snapToGrid w:val="0"/>
          <w:spacing w:val="-2"/>
          <w:sz w:val="28"/>
          <w:szCs w:val="28"/>
          <w:lang w:val="en-US" w:eastAsia="zh-CN"/>
        </w:rPr>
        <w:t>XXXXX</w:t>
      </w:r>
      <w:r>
        <w:rPr>
          <w:rFonts w:hint="default" w:ascii="Times New Roman" w:hAnsi="Times New Roman" w:eastAsia="华文仿宋" w:cs="Times New Roman"/>
          <w:snapToGrid w:val="0"/>
          <w:spacing w:val="-2"/>
          <w:sz w:val="28"/>
          <w:szCs w:val="28"/>
        </w:rPr>
        <w:t>-</w:t>
      </w:r>
      <w:r>
        <w:rPr>
          <w:rFonts w:hint="eastAsia" w:ascii="Times New Roman" w:hAnsi="Times New Roman" w:eastAsia="华文仿宋" w:cs="Times New Roman"/>
          <w:snapToGrid w:val="0"/>
          <w:spacing w:val="-2"/>
          <w:sz w:val="28"/>
          <w:szCs w:val="28"/>
          <w:lang w:val="en-US" w:eastAsia="zh-CN"/>
        </w:rPr>
        <w:t>XXXX</w:t>
      </w:r>
      <w:r>
        <w:rPr>
          <w:rFonts w:hint="eastAsia" w:ascii="楷体_GB2312" w:eastAsia="楷体_GB2312"/>
          <w:b/>
          <w:bCs/>
          <w:sz w:val="32"/>
          <w:szCs w:val="36"/>
          <w:highlight w:val="none"/>
          <w:u w:val="none"/>
          <w:lang w:val="en-US" w:eastAsia="zh-CN"/>
        </w:rPr>
        <w:t xml:space="preserve">         </w:t>
      </w:r>
    </w:p>
    <w:p w14:paraId="232E3E24">
      <w:pPr>
        <w:keepNext w:val="0"/>
        <w:keepLines w:val="0"/>
        <w:pageBreakBefore w:val="0"/>
        <w:overflowPunct/>
        <w:topLinePunct w:val="0"/>
        <w:bidi w:val="0"/>
        <w:spacing w:line="360" w:lineRule="auto"/>
        <w:ind w:firstLine="0" w:firstLineChars="0"/>
        <w:rPr>
          <w:rFonts w:ascii="Arial"/>
          <w:sz w:val="21"/>
          <w:highlight w:val="none"/>
          <w:u w:val="none"/>
        </w:rPr>
      </w:pPr>
      <w:r>
        <w:rPr>
          <w:rFonts w:ascii="楷体_GB2312" w:eastAsia="楷体_GB2312"/>
          <w:b/>
          <w:bCs/>
          <w:sz w:val="32"/>
          <w:szCs w:val="36"/>
          <w:highlight w:val="none"/>
        </w:rPr>
        <mc:AlternateContent>
          <mc:Choice Requires="wps">
            <w:drawing>
              <wp:anchor distT="0" distB="0" distL="114300" distR="114300" simplePos="0" relativeHeight="251659264" behindDoc="0" locked="0" layoutInCell="1" allowOverlap="1">
                <wp:simplePos x="0" y="0"/>
                <wp:positionH relativeFrom="column">
                  <wp:posOffset>33020</wp:posOffset>
                </wp:positionH>
                <wp:positionV relativeFrom="paragraph">
                  <wp:posOffset>75565</wp:posOffset>
                </wp:positionV>
                <wp:extent cx="5769610" cy="9525"/>
                <wp:effectExtent l="0" t="0" r="0" b="0"/>
                <wp:wrapNone/>
                <wp:docPr id="1258063899" name="AutoShape 3"/>
                <wp:cNvGraphicFramePr/>
                <a:graphic xmlns:a="http://schemas.openxmlformats.org/drawingml/2006/main">
                  <a:graphicData uri="http://schemas.microsoft.com/office/word/2010/wordprocessingShape">
                    <wps:wsp>
                      <wps:cNvCnPr>
                        <a:cxnSpLocks noChangeShapeType="1"/>
                      </wps:cNvCnPr>
                      <wps:spPr bwMode="auto">
                        <a:xfrm flipV="1">
                          <a:off x="0" y="0"/>
                          <a:ext cx="5769610" cy="9525"/>
                        </a:xfrm>
                        <a:prstGeom prst="straightConnector1">
                          <a:avLst/>
                        </a:prstGeom>
                        <a:noFill/>
                        <a:ln w="9525">
                          <a:solidFill>
                            <a:srgbClr val="000000"/>
                          </a:solidFill>
                          <a:round/>
                        </a:ln>
                      </wps:spPr>
                      <wps:bodyPr/>
                    </wps:wsp>
                  </a:graphicData>
                </a:graphic>
              </wp:anchor>
            </w:drawing>
          </mc:Choice>
          <mc:Fallback>
            <w:pict>
              <v:shape id="AutoShape 3" o:spid="_x0000_s1026" o:spt="32" type="#_x0000_t32" style="position:absolute;left:0pt;flip:y;margin-left:2.6pt;margin-top:5.95pt;height:0.75pt;width:454.3pt;z-index:251659264;mso-width-relative:page;mso-height-relative:page;" filled="f" stroked="t" coordsize="21600,21600" o:gfxdata="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yyWbHVAAAABwEAAA8A&#10;AAAAAAAAAQAgAAAAIgAAAGRycy9kb3ducmV2LnhtbFBLAQIUABQAAAAIAIdO4kBKJt4Y4QEAAMgD&#10;AAAOAAAAAAAAAAEAIAAAACQBAABkcnMvZTJvRG9jLnhtbFBLBQYAAAAABgAGAFkBAAB3BQAAAAA=&#10;">
                <v:fill on="f" focussize="0,0"/>
                <v:stroke color="#000000" joinstyle="round"/>
                <v:imagedata o:title=""/>
                <o:lock v:ext="edit" aspectratio="f"/>
              </v:shape>
            </w:pict>
          </mc:Fallback>
        </mc:AlternateContent>
      </w:r>
    </w:p>
    <w:p w14:paraId="644FE211">
      <w:pPr>
        <w:keepNext w:val="0"/>
        <w:keepLines w:val="0"/>
        <w:pageBreakBefore w:val="0"/>
        <w:wordWrap/>
        <w:overflowPunct/>
        <w:topLinePunct w:val="0"/>
        <w:bidi w:val="0"/>
        <w:spacing w:line="360" w:lineRule="auto"/>
        <w:ind w:firstLine="0" w:firstLineChars="0"/>
        <w:rPr>
          <w:rFonts w:ascii="Arial"/>
          <w:sz w:val="21"/>
          <w:highlight w:val="none"/>
        </w:rPr>
      </w:pPr>
    </w:p>
    <w:p w14:paraId="3DA3A419">
      <w:pPr>
        <w:keepNext w:val="0"/>
        <w:keepLines w:val="0"/>
        <w:pageBreakBefore w:val="0"/>
        <w:wordWrap/>
        <w:overflowPunct/>
        <w:topLinePunct w:val="0"/>
        <w:bidi w:val="0"/>
        <w:spacing w:line="360" w:lineRule="auto"/>
        <w:ind w:left="0" w:leftChars="0" w:right="0" w:rightChars="0" w:firstLine="0" w:firstLineChars="0"/>
        <w:jc w:val="center"/>
        <w:rPr>
          <w:rFonts w:hint="eastAsia" w:ascii="宋体" w:hAnsi="宋体" w:eastAsia="宋体" w:cs="宋体"/>
          <w:b/>
          <w:bCs/>
          <w:spacing w:val="0"/>
          <w:sz w:val="44"/>
          <w:szCs w:val="44"/>
          <w:highlight w:val="none"/>
          <w:lang w:eastAsia="zh-CN"/>
        </w:rPr>
      </w:pPr>
      <w:r>
        <w:rPr>
          <w:rFonts w:hint="eastAsia" w:ascii="宋体" w:hAnsi="宋体" w:eastAsia="宋体" w:cs="宋体"/>
          <w:b/>
          <w:bCs/>
          <w:spacing w:val="0"/>
          <w:sz w:val="44"/>
          <w:szCs w:val="44"/>
          <w:highlight w:val="none"/>
          <w:lang w:val="en-US" w:eastAsia="zh-CN"/>
        </w:rPr>
        <w:t>云南省山地光伏电站施工质量及验收技术规程</w:t>
      </w:r>
    </w:p>
    <w:p w14:paraId="72B684F6">
      <w:pPr>
        <w:keepNext w:val="0"/>
        <w:keepLines w:val="0"/>
        <w:pageBreakBefore w:val="0"/>
        <w:wordWrap/>
        <w:overflowPunct/>
        <w:topLinePunct w:val="0"/>
        <w:bidi w:val="0"/>
        <w:spacing w:line="360" w:lineRule="auto"/>
        <w:ind w:left="0" w:leftChars="0" w:right="0" w:rightChars="0" w:firstLine="0" w:firstLineChars="0"/>
        <w:jc w:val="center"/>
        <w:rPr>
          <w:rFonts w:hint="eastAsia" w:ascii="宋体" w:hAnsi="宋体" w:eastAsia="宋体" w:cs="宋体"/>
          <w:b/>
          <w:bCs/>
          <w:spacing w:val="-4"/>
          <w:sz w:val="36"/>
          <w:szCs w:val="36"/>
          <w:highlight w:val="none"/>
          <w:lang w:eastAsia="zh-CN"/>
        </w:rPr>
      </w:pPr>
      <w:bookmarkStart w:id="0" w:name="_Toc28639"/>
      <w:r>
        <w:rPr>
          <w:rFonts w:hint="eastAsia" w:ascii="宋体" w:hAnsi="宋体" w:eastAsia="宋体" w:cs="宋体"/>
          <w:b/>
          <w:bCs/>
          <w:spacing w:val="-4"/>
          <w:sz w:val="36"/>
          <w:szCs w:val="36"/>
          <w:highlight w:val="none"/>
          <w:lang w:eastAsia="zh-CN"/>
        </w:rPr>
        <w:t>（</w:t>
      </w:r>
      <w:r>
        <w:rPr>
          <w:rFonts w:hint="eastAsia" w:ascii="宋体" w:hAnsi="宋体" w:eastAsia="宋体" w:cs="宋体"/>
          <w:b/>
          <w:bCs/>
          <w:spacing w:val="-4"/>
          <w:sz w:val="36"/>
          <w:szCs w:val="36"/>
          <w:highlight w:val="none"/>
          <w:lang w:val="en-US" w:eastAsia="zh-CN"/>
        </w:rPr>
        <w:t>征求意见稿</w:t>
      </w:r>
      <w:r>
        <w:rPr>
          <w:rFonts w:hint="eastAsia" w:ascii="宋体" w:hAnsi="宋体" w:eastAsia="宋体" w:cs="宋体"/>
          <w:b/>
          <w:bCs/>
          <w:spacing w:val="-4"/>
          <w:sz w:val="36"/>
          <w:szCs w:val="36"/>
          <w:highlight w:val="none"/>
          <w:lang w:eastAsia="zh-CN"/>
        </w:rPr>
        <w:t>）</w:t>
      </w:r>
      <w:bookmarkEnd w:id="0"/>
    </w:p>
    <w:p w14:paraId="40A07C3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ascii="Arial"/>
          <w:sz w:val="21"/>
          <w:highlight w:val="none"/>
        </w:rPr>
      </w:pPr>
      <w:r>
        <w:rPr>
          <w:rFonts w:hint="eastAsia" w:ascii="Times New Roman" w:hAnsi="Times New Roman" w:eastAsia="仿宋_GB2312" w:cs="Times New Roman"/>
          <w:b/>
          <w:bCs/>
          <w:snapToGrid/>
          <w:kern w:val="2"/>
          <w:sz w:val="32"/>
          <w:szCs w:val="36"/>
          <w:highlight w:val="none"/>
          <w:lang w:eastAsia="zh-CN"/>
          <w14:ligatures w14:val="standardContextual"/>
        </w:rPr>
        <w:t>Technical Specification for Construction Quality and Acceptance of Mountain Photovoltaic Power Station in Yunnan Province</w:t>
      </w:r>
    </w:p>
    <w:p w14:paraId="5014E853">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textAlignment w:val="baseline"/>
        <w:rPr>
          <w:rFonts w:ascii="Arial"/>
          <w:sz w:val="21"/>
          <w:highlight w:val="none"/>
        </w:rPr>
      </w:pPr>
    </w:p>
    <w:p w14:paraId="678F1A12">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textAlignment w:val="baseline"/>
        <w:rPr>
          <w:rFonts w:ascii="Arial"/>
          <w:sz w:val="21"/>
          <w:highlight w:val="none"/>
        </w:rPr>
      </w:pPr>
    </w:p>
    <w:p w14:paraId="0F848B7B">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textAlignment w:val="baseline"/>
        <w:rPr>
          <w:rFonts w:ascii="Arial"/>
          <w:sz w:val="21"/>
          <w:highlight w:val="none"/>
        </w:rPr>
      </w:pPr>
    </w:p>
    <w:p w14:paraId="6E0D98C4">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textAlignment w:val="baseline"/>
        <w:rPr>
          <w:rFonts w:ascii="Arial"/>
          <w:sz w:val="21"/>
          <w:highlight w:val="none"/>
        </w:rPr>
      </w:pPr>
    </w:p>
    <w:p w14:paraId="2FE0C36A">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textAlignment w:val="baseline"/>
        <w:rPr>
          <w:rFonts w:ascii="Arial"/>
          <w:sz w:val="21"/>
          <w:highlight w:val="none"/>
        </w:rPr>
      </w:pPr>
    </w:p>
    <w:p w14:paraId="67C5AAC0">
      <w:pPr>
        <w:pStyle w:val="6"/>
        <w:rPr>
          <w:rFonts w:ascii="Arial"/>
          <w:sz w:val="21"/>
          <w:highlight w:val="none"/>
        </w:rPr>
      </w:pPr>
    </w:p>
    <w:p w14:paraId="12BF25D3">
      <w:pPr>
        <w:pStyle w:val="6"/>
        <w:rPr>
          <w:rFonts w:ascii="Arial"/>
          <w:sz w:val="21"/>
          <w:highlight w:val="none"/>
        </w:rPr>
      </w:pPr>
    </w:p>
    <w:p w14:paraId="5F956779">
      <w:pPr>
        <w:pStyle w:val="6"/>
        <w:rPr>
          <w:rFonts w:ascii="Arial"/>
          <w:sz w:val="21"/>
          <w:highlight w:val="none"/>
        </w:rPr>
      </w:pPr>
    </w:p>
    <w:p w14:paraId="1EF9D8B2">
      <w:pPr>
        <w:pStyle w:val="6"/>
        <w:rPr>
          <w:rFonts w:ascii="Arial"/>
          <w:sz w:val="21"/>
          <w:highlight w:val="none"/>
        </w:rPr>
      </w:pPr>
    </w:p>
    <w:p w14:paraId="236D7817">
      <w:pPr>
        <w:pStyle w:val="6"/>
        <w:rPr>
          <w:rFonts w:ascii="Arial"/>
          <w:sz w:val="21"/>
          <w:highlight w:val="none"/>
        </w:rPr>
      </w:pPr>
    </w:p>
    <w:p w14:paraId="1FF28871">
      <w:pPr>
        <w:pStyle w:val="6"/>
        <w:rPr>
          <w:rFonts w:ascii="Arial"/>
          <w:sz w:val="21"/>
          <w:highlight w:val="none"/>
        </w:rPr>
      </w:pPr>
    </w:p>
    <w:p w14:paraId="5A2F9B47">
      <w:pPr>
        <w:keepNext w:val="0"/>
        <w:keepLines w:val="0"/>
        <w:pageBreakBefore w:val="0"/>
        <w:widowControl/>
        <w:kinsoku w:val="0"/>
        <w:wordWrap/>
        <w:overflowPunct/>
        <w:topLinePunct w:val="0"/>
        <w:autoSpaceDE w:val="0"/>
        <w:autoSpaceDN w:val="0"/>
        <w:bidi w:val="0"/>
        <w:adjustRightInd w:val="0"/>
        <w:snapToGrid w:val="0"/>
        <w:spacing w:line="360" w:lineRule="auto"/>
        <w:ind w:firstLine="0" w:firstLineChars="0"/>
        <w:textAlignment w:val="baseline"/>
        <w:rPr>
          <w:rFonts w:ascii="Arial"/>
          <w:sz w:val="21"/>
          <w:highlight w:val="none"/>
        </w:rPr>
      </w:pPr>
    </w:p>
    <w:p w14:paraId="07A31AF4">
      <w:pPr>
        <w:widowControl/>
        <w:tabs>
          <w:tab w:val="left" w:pos="5589"/>
        </w:tabs>
        <w:autoSpaceDE/>
        <w:autoSpaceDN/>
        <w:spacing w:before="263"/>
        <w:jc w:val="center"/>
        <w:rPr>
          <w:rFonts w:hint="eastAsia" w:ascii="宋体" w:hAnsi="宋体" w:eastAsia="宋体" w:cs="Times New Roman"/>
          <w:snapToGrid w:val="0"/>
          <w:kern w:val="0"/>
          <w:szCs w:val="28"/>
        </w:rPr>
      </w:pPr>
      <w:r>
        <w:rPr>
          <w:rFonts w:hint="default" w:ascii="Times New Roman" w:hAnsi="Times New Roman" w:eastAsia="华文仿宋" w:cs="Times New Roman"/>
          <w:b/>
          <w:bCs/>
          <w:color w:val="auto"/>
          <w:spacing w:val="-2"/>
          <w:sz w:val="28"/>
          <w:szCs w:val="28"/>
          <w:highlight w:val="none"/>
          <w:lang w:val="en-US" w:eastAsia="zh-CN" w:bidi="ar-SA"/>
        </w:rPr>
        <w:t>202</w:t>
      </w:r>
      <w:r>
        <w:rPr>
          <w:rFonts w:hint="eastAsia" w:ascii="Times New Roman" w:hAnsi="Times New Roman" w:eastAsia="华文仿宋" w:cs="Times New Roman"/>
          <w:b/>
          <w:bCs/>
          <w:color w:val="auto"/>
          <w:spacing w:val="-2"/>
          <w:sz w:val="28"/>
          <w:szCs w:val="28"/>
          <w:highlight w:val="none"/>
          <w:lang w:val="en-US" w:eastAsia="zh-CN" w:bidi="ar-SA"/>
        </w:rPr>
        <w:t>X</w:t>
      </w:r>
      <w:r>
        <w:rPr>
          <w:rFonts w:hint="default" w:ascii="Times New Roman" w:hAnsi="Times New Roman" w:eastAsia="华文仿宋" w:cs="Times New Roman"/>
          <w:b/>
          <w:bCs/>
          <w:color w:val="auto"/>
          <w:spacing w:val="-2"/>
          <w:sz w:val="28"/>
          <w:szCs w:val="28"/>
          <w:highlight w:val="none"/>
          <w:lang w:val="en-US" w:eastAsia="zh-CN" w:bidi="ar-SA"/>
        </w:rPr>
        <w:t>-</w:t>
      </w:r>
      <w:r>
        <w:rPr>
          <w:rFonts w:hint="eastAsia" w:ascii="Times New Roman" w:hAnsi="Times New Roman" w:eastAsia="华文仿宋" w:cs="Times New Roman"/>
          <w:b/>
          <w:bCs/>
          <w:color w:val="auto"/>
          <w:spacing w:val="-2"/>
          <w:sz w:val="28"/>
          <w:szCs w:val="28"/>
          <w:highlight w:val="none"/>
          <w:lang w:val="en-US" w:eastAsia="zh-CN" w:bidi="ar-SA"/>
        </w:rPr>
        <w:t>XX</w:t>
      </w:r>
      <w:r>
        <w:rPr>
          <w:rFonts w:hint="default" w:ascii="Times New Roman" w:hAnsi="Times New Roman" w:eastAsia="华文仿宋" w:cs="Times New Roman"/>
          <w:b/>
          <w:bCs/>
          <w:color w:val="auto"/>
          <w:spacing w:val="-2"/>
          <w:sz w:val="28"/>
          <w:szCs w:val="28"/>
          <w:highlight w:val="none"/>
          <w:lang w:val="en-US" w:eastAsia="zh-CN" w:bidi="ar-SA"/>
        </w:rPr>
        <w:t>-</w:t>
      </w:r>
      <w:r>
        <w:rPr>
          <w:rFonts w:hint="eastAsia" w:ascii="Times New Roman" w:hAnsi="Times New Roman" w:eastAsia="华文仿宋" w:cs="Times New Roman"/>
          <w:b/>
          <w:bCs/>
          <w:color w:val="auto"/>
          <w:spacing w:val="-2"/>
          <w:sz w:val="28"/>
          <w:szCs w:val="28"/>
          <w:highlight w:val="none"/>
          <w:lang w:val="en-US" w:eastAsia="zh-CN" w:bidi="ar-SA"/>
        </w:rPr>
        <w:t>XX</w:t>
      </w:r>
      <w:r>
        <w:rPr>
          <w:rFonts w:hint="eastAsia" w:eastAsia="华文仿宋" w:cs="Times New Roman"/>
          <w:b w:val="0"/>
          <w:bCs w:val="0"/>
          <w:color w:val="auto"/>
          <w:spacing w:val="-2"/>
          <w:sz w:val="28"/>
          <w:szCs w:val="28"/>
          <w:highlight w:val="none"/>
          <w:lang w:val="en-US" w:eastAsia="zh-CN" w:bidi="ar-SA"/>
        </w:rPr>
        <w:t xml:space="preserve">  </w:t>
      </w:r>
      <w:r>
        <w:rPr>
          <w:rFonts w:hint="eastAsia" w:ascii="黑体" w:hAnsi="黑体" w:eastAsia="黑体" w:cs="黑体"/>
          <w:b w:val="0"/>
          <w:bCs w:val="0"/>
          <w:color w:val="auto"/>
          <w:sz w:val="28"/>
          <w:szCs w:val="28"/>
          <w:highlight w:val="none"/>
        </w:rPr>
        <w:t>发布</w:t>
      </w:r>
      <w:r>
        <w:rPr>
          <w:rFonts w:ascii="宋体" w:hAnsi="宋体" w:eastAsia="宋体"/>
          <w:b w:val="0"/>
          <w:bCs w:val="0"/>
          <w:color w:val="auto"/>
          <w:sz w:val="28"/>
          <w:szCs w:val="28"/>
          <w:highlight w:val="none"/>
        </w:rPr>
        <w:t xml:space="preserve">                </w:t>
      </w:r>
      <w:r>
        <w:rPr>
          <w:rFonts w:hint="default" w:ascii="Times New Roman" w:hAnsi="Times New Roman" w:eastAsia="宋体" w:cs="Times New Roman"/>
          <w:b w:val="0"/>
          <w:bCs w:val="0"/>
          <w:color w:val="auto"/>
          <w:sz w:val="28"/>
          <w:szCs w:val="28"/>
          <w:highlight w:val="none"/>
        </w:rPr>
        <w:t xml:space="preserve"> </w:t>
      </w:r>
      <w:r>
        <w:rPr>
          <w:rFonts w:hint="default" w:ascii="Times New Roman" w:hAnsi="Times New Roman" w:eastAsia="华文仿宋" w:cs="Times New Roman"/>
          <w:b/>
          <w:bCs/>
          <w:color w:val="auto"/>
          <w:spacing w:val="-2"/>
          <w:sz w:val="28"/>
          <w:szCs w:val="28"/>
          <w:highlight w:val="none"/>
          <w:lang w:val="en-US" w:eastAsia="zh-CN" w:bidi="ar-SA"/>
        </w:rPr>
        <w:t>202</w:t>
      </w:r>
      <w:r>
        <w:rPr>
          <w:rFonts w:hint="eastAsia" w:ascii="Times New Roman" w:hAnsi="Times New Roman" w:eastAsia="华文仿宋" w:cs="Times New Roman"/>
          <w:b/>
          <w:bCs/>
          <w:color w:val="auto"/>
          <w:spacing w:val="-2"/>
          <w:sz w:val="28"/>
          <w:szCs w:val="28"/>
          <w:highlight w:val="none"/>
          <w:lang w:val="en-US" w:eastAsia="zh-CN" w:bidi="ar-SA"/>
        </w:rPr>
        <w:t>X</w:t>
      </w:r>
      <w:r>
        <w:rPr>
          <w:rFonts w:hint="default" w:ascii="Times New Roman" w:hAnsi="Times New Roman" w:eastAsia="华文仿宋" w:cs="Times New Roman"/>
          <w:b/>
          <w:bCs/>
          <w:color w:val="auto"/>
          <w:spacing w:val="-2"/>
          <w:sz w:val="28"/>
          <w:szCs w:val="28"/>
          <w:highlight w:val="none"/>
          <w:lang w:val="en-US" w:eastAsia="zh-CN" w:bidi="ar-SA"/>
        </w:rPr>
        <w:t>-</w:t>
      </w:r>
      <w:r>
        <w:rPr>
          <w:rFonts w:hint="eastAsia" w:ascii="Times New Roman" w:hAnsi="Times New Roman" w:eastAsia="华文仿宋" w:cs="Times New Roman"/>
          <w:b/>
          <w:bCs/>
          <w:color w:val="auto"/>
          <w:spacing w:val="-2"/>
          <w:sz w:val="28"/>
          <w:szCs w:val="28"/>
          <w:highlight w:val="none"/>
          <w:lang w:val="en-US" w:eastAsia="zh-CN" w:bidi="ar-SA"/>
        </w:rPr>
        <w:t>XX</w:t>
      </w:r>
      <w:r>
        <w:rPr>
          <w:rFonts w:hint="default" w:ascii="Times New Roman" w:hAnsi="Times New Roman" w:eastAsia="华文仿宋" w:cs="Times New Roman"/>
          <w:b/>
          <w:bCs/>
          <w:color w:val="auto"/>
          <w:spacing w:val="-2"/>
          <w:sz w:val="28"/>
          <w:szCs w:val="28"/>
          <w:highlight w:val="none"/>
          <w:lang w:val="en-US" w:eastAsia="zh-CN" w:bidi="ar-SA"/>
        </w:rPr>
        <w:t>-</w:t>
      </w:r>
      <w:r>
        <w:rPr>
          <w:rFonts w:hint="eastAsia" w:ascii="Times New Roman" w:hAnsi="Times New Roman" w:eastAsia="华文仿宋" w:cs="Times New Roman"/>
          <w:b/>
          <w:bCs/>
          <w:color w:val="auto"/>
          <w:spacing w:val="-2"/>
          <w:sz w:val="28"/>
          <w:szCs w:val="28"/>
          <w:highlight w:val="none"/>
          <w:lang w:val="en-US" w:eastAsia="zh-CN" w:bidi="ar-SA"/>
        </w:rPr>
        <w:t>XX</w:t>
      </w:r>
      <w:r>
        <w:rPr>
          <w:rFonts w:hint="eastAsia" w:eastAsia="华文仿宋" w:cs="Times New Roman"/>
          <w:b w:val="0"/>
          <w:bCs w:val="0"/>
          <w:color w:val="auto"/>
          <w:spacing w:val="-2"/>
          <w:sz w:val="28"/>
          <w:szCs w:val="28"/>
          <w:highlight w:val="none"/>
          <w:lang w:val="en-US" w:eastAsia="zh-CN" w:bidi="ar-SA"/>
        </w:rPr>
        <w:t xml:space="preserve">  </w:t>
      </w:r>
      <w:r>
        <w:rPr>
          <w:rFonts w:hint="eastAsia" w:ascii="黑体" w:hAnsi="黑体" w:eastAsia="黑体" w:cs="黑体"/>
          <w:b w:val="0"/>
          <w:bCs w:val="0"/>
          <w:color w:val="auto"/>
          <w:sz w:val="28"/>
          <w:szCs w:val="28"/>
          <w:highlight w:val="none"/>
        </w:rPr>
        <w:t>实施</w:t>
      </w:r>
      <w:r>
        <w:rPr>
          <w:rFonts w:eastAsia="宋体" w:cs="Times New Roman"/>
          <w:snapToGrid w:val="0"/>
          <w:kern w:val="0"/>
        </w:rPr>
        <mc:AlternateContent>
          <mc:Choice Requires="wps">
            <w:drawing>
              <wp:anchor distT="0" distB="0" distL="114300" distR="114300" simplePos="0" relativeHeight="251660288" behindDoc="0" locked="0" layoutInCell="1" allowOverlap="1">
                <wp:simplePos x="0" y="0"/>
                <wp:positionH relativeFrom="column">
                  <wp:posOffset>-15875</wp:posOffset>
                </wp:positionH>
                <wp:positionV relativeFrom="paragraph">
                  <wp:posOffset>501650</wp:posOffset>
                </wp:positionV>
                <wp:extent cx="5292725" cy="19685"/>
                <wp:effectExtent l="0" t="9525" r="3175" b="27940"/>
                <wp:wrapNone/>
                <wp:docPr id="3" name="Line 2"/>
                <wp:cNvGraphicFramePr/>
                <a:graphic xmlns:a="http://schemas.openxmlformats.org/drawingml/2006/main">
                  <a:graphicData uri="http://schemas.microsoft.com/office/word/2010/wordprocessingShape">
                    <wps:wsp>
                      <wps:cNvCnPr>
                        <a:cxnSpLocks noChangeShapeType="1"/>
                      </wps:cNvCnPr>
                      <wps:spPr bwMode="auto">
                        <a:xfrm>
                          <a:off x="0" y="0"/>
                          <a:ext cx="5292725" cy="19685"/>
                        </a:xfrm>
                        <a:prstGeom prst="line">
                          <a:avLst/>
                        </a:prstGeom>
                        <a:noFill/>
                        <a:ln w="19050">
                          <a:solidFill>
                            <a:srgbClr val="000000"/>
                          </a:solidFill>
                          <a:miter lim="800000"/>
                        </a:ln>
                      </wps:spPr>
                      <wps:bodyPr/>
                    </wps:wsp>
                  </a:graphicData>
                </a:graphic>
              </wp:anchor>
            </w:drawing>
          </mc:Choice>
          <mc:Fallback>
            <w:pict>
              <v:line id="Line 2" o:spid="_x0000_s1026" o:spt="20" style="position:absolute;left:0pt;margin-left:-1.25pt;margin-top:39.5pt;height:1.55pt;width:416.75pt;z-index:251660288;mso-width-relative:page;mso-height-relative:page;" filled="f" stroked="t" coordsize="21600,21600" o:gfxdata="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tup7fYAAAACAEAAA8AAAAAAAAAAQAgAAAA&#10;IgAAAGRycy9kb3ducmV2LnhtbFBLAQIUABQAAAAIAIdO4kCZtzUV0gEAALEDAAAOAAAAAAAAAAEA&#10;IAAAACcBAABkcnMvZTJvRG9jLnhtbFBLBQYAAAAABgAGAFkBAABrBQAAAAA=&#10;">
                <v:fill on="f" focussize="0,0"/>
                <v:stroke weight="1.5pt" color="#000000" miterlimit="8" joinstyle="miter"/>
                <v:imagedata o:title=""/>
                <o:lock v:ext="edit" aspectratio="f"/>
              </v:line>
            </w:pict>
          </mc:Fallback>
        </mc:AlternateContent>
      </w:r>
    </w:p>
    <w:p w14:paraId="30925E79">
      <w:pPr>
        <w:widowControl/>
        <w:autoSpaceDE/>
        <w:autoSpaceDN/>
        <w:spacing w:before="163" w:beforeLines="50"/>
        <w:ind w:left="0" w:leftChars="0" w:right="0" w:rightChars="0" w:firstLine="0" w:firstLineChars="0"/>
        <w:jc w:val="center"/>
        <w:outlineLvl w:val="9"/>
        <w:rPr>
          <w:rFonts w:eastAsia="黑体"/>
          <w:snapToGrid w:val="0"/>
          <w:sz w:val="32"/>
          <w:szCs w:val="32"/>
        </w:rPr>
        <w:sectPr>
          <w:headerReference r:id="rId3" w:type="default"/>
          <w:footerReference r:id="rId4" w:type="default"/>
          <w:pgSz w:w="11900" w:h="16840"/>
          <w:pgMar w:top="1440" w:right="1531" w:bottom="1440" w:left="1531" w:header="851" w:footer="992" w:gutter="0"/>
          <w:cols w:space="425" w:num="1"/>
          <w:docGrid w:type="lines" w:linePitch="326" w:charSpace="0"/>
        </w:sectPr>
      </w:pPr>
      <w:bookmarkStart w:id="1" w:name="_Toc31661"/>
      <w:r>
        <w:rPr>
          <w:rFonts w:hint="eastAsia" w:eastAsia="黑体" w:cs="Times New Roman"/>
          <w:snapToGrid w:val="0"/>
          <w:sz w:val="32"/>
          <w:szCs w:val="32"/>
          <w:lang w:eastAsia="zh-CN"/>
        </w:rPr>
        <w:t>云南省能源局</w:t>
      </w:r>
      <w:r>
        <w:rPr>
          <w:rFonts w:hint="eastAsia" w:eastAsia="黑体" w:cs="Times New Roman"/>
          <w:snapToGrid w:val="0"/>
          <w:sz w:val="32"/>
          <w:szCs w:val="32"/>
          <w:lang w:val="en-US" w:eastAsia="zh-CN"/>
        </w:rPr>
        <w:t xml:space="preserve">       </w:t>
      </w:r>
      <w:r>
        <w:rPr>
          <w:rFonts w:hint="eastAsia" w:eastAsia="黑体" w:cs="Times New Roman"/>
          <w:snapToGrid w:val="0"/>
          <w:sz w:val="32"/>
          <w:szCs w:val="32"/>
        </w:rPr>
        <w:t>云南省住房和城乡建设厅    发布</w:t>
      </w:r>
      <w:bookmarkEnd w:id="1"/>
    </w:p>
    <w:p w14:paraId="014738EE">
      <w:pPr>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eastAsia" w:ascii="Times New Roman" w:hAnsi="Times New Roman" w:eastAsia="宋体" w:cs="宋体"/>
          <w:b w:val="0"/>
          <w:bCs w:val="0"/>
          <w:snapToGrid w:val="0"/>
          <w:color w:val="auto"/>
          <w:sz w:val="28"/>
          <w:szCs w:val="28"/>
          <w:highlight w:val="none"/>
        </w:rPr>
      </w:pPr>
      <w:bookmarkStart w:id="2" w:name="_Toc17615"/>
      <w:r>
        <w:rPr>
          <w:rFonts w:hint="eastAsia" w:ascii="微软雅黑" w:hAnsi="微软雅黑" w:eastAsia="微软雅黑" w:cs="微软雅黑"/>
          <w:b w:val="0"/>
          <w:bCs w:val="0"/>
          <w:snapToGrid w:val="0"/>
          <w:color w:val="auto"/>
          <w:sz w:val="44"/>
          <w:szCs w:val="44"/>
          <w:highlight w:val="none"/>
        </w:rPr>
        <w:t>前</w:t>
      </w:r>
      <w:r>
        <w:rPr>
          <w:rFonts w:hint="eastAsia" w:ascii="微软雅黑" w:hAnsi="微软雅黑" w:eastAsia="微软雅黑" w:cs="微软雅黑"/>
          <w:b w:val="0"/>
          <w:bCs w:val="0"/>
          <w:snapToGrid w:val="0"/>
          <w:color w:val="auto"/>
          <w:sz w:val="44"/>
          <w:szCs w:val="44"/>
          <w:highlight w:val="none"/>
          <w:lang w:eastAsia="zh-CN"/>
        </w:rPr>
        <w:t>　　</w:t>
      </w:r>
      <w:r>
        <w:rPr>
          <w:rFonts w:hint="eastAsia" w:ascii="微软雅黑" w:hAnsi="微软雅黑" w:eastAsia="微软雅黑" w:cs="微软雅黑"/>
          <w:b w:val="0"/>
          <w:bCs w:val="0"/>
          <w:snapToGrid w:val="0"/>
          <w:color w:val="auto"/>
          <w:sz w:val="44"/>
          <w:szCs w:val="44"/>
          <w:highlight w:val="none"/>
        </w:rPr>
        <w:t>言</w:t>
      </w:r>
    </w:p>
    <w:p w14:paraId="1D8214A9">
      <w:pPr>
        <w:pageBreakBefore w:val="0"/>
        <w:widowControl w:val="0"/>
        <w:kinsoku/>
        <w:wordWrap/>
        <w:overflowPunct/>
        <w:topLinePunct w:val="0"/>
        <w:autoSpaceDE w:val="0"/>
        <w:autoSpaceDN w:val="0"/>
        <w:bidi w:val="0"/>
        <w:adjustRightInd w:val="0"/>
        <w:snapToGrid w:val="0"/>
        <w:spacing w:line="360" w:lineRule="auto"/>
        <w:ind w:left="50" w:firstLine="0" w:firstLineChars="0"/>
        <w:jc w:val="both"/>
        <w:textAlignment w:val="auto"/>
        <w:rPr>
          <w:rFonts w:hint="eastAsia" w:ascii="Times New Roman" w:hAnsi="Times New Roman" w:eastAsia="宋体" w:cs="宋体"/>
          <w:b w:val="0"/>
          <w:bCs w:val="0"/>
          <w:color w:val="auto"/>
          <w:sz w:val="28"/>
          <w:szCs w:val="28"/>
          <w:highlight w:val="none"/>
        </w:rPr>
      </w:pPr>
    </w:p>
    <w:p w14:paraId="4084E8FF">
      <w:pPr>
        <w:pStyle w:val="20"/>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eastAsia"/>
        </w:rPr>
      </w:pPr>
      <w:r>
        <w:rPr>
          <w:rFonts w:hint="eastAsia"/>
        </w:rPr>
        <w:t>根据云南省住房和城乡建设厅《云南省住房和城乡建设厅关于印发2023年工程建设地方标准编制计划的通知》要求，规程编制组经广泛调查研究，认真总结实践经验，结合云南省的实际情况，参考国家及其他省市有关先进标准，并在广泛征求意见的基础上，制定本规程。</w:t>
      </w:r>
    </w:p>
    <w:p w14:paraId="31560200">
      <w:pPr>
        <w:pStyle w:val="20"/>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eastAsia"/>
          <w:color w:val="000000" w:themeColor="text1"/>
          <w:lang w:eastAsia="zh-CN"/>
          <w14:textFill>
            <w14:solidFill>
              <w14:schemeClr w14:val="tx1"/>
            </w14:solidFill>
          </w14:textFill>
        </w:rPr>
      </w:pPr>
      <w:r>
        <w:rPr>
          <w:rFonts w:hint="eastAsia"/>
        </w:rPr>
        <w:t>本规程的主要技术内容</w:t>
      </w:r>
      <w:r>
        <w:rPr>
          <w:rFonts w:hint="eastAsia"/>
          <w:color w:val="000000" w:themeColor="text1"/>
          <w14:textFill>
            <w14:solidFill>
              <w14:schemeClr w14:val="tx1"/>
            </w14:solidFill>
          </w14:textFill>
        </w:rPr>
        <w:t>是：总则、术语、基本规定、土建工程、安装工程、设备及系统调试、消防工程、环境保护与水土保持、安全与职业健康、工程验收</w:t>
      </w:r>
      <w:r>
        <w:rPr>
          <w:rFonts w:hint="eastAsia"/>
          <w:color w:val="000000" w:themeColor="text1"/>
          <w:lang w:eastAsia="zh-CN"/>
          <w14:textFill>
            <w14:solidFill>
              <w14:schemeClr w14:val="tx1"/>
            </w14:solidFill>
          </w14:textFill>
        </w:rPr>
        <w:t>。</w:t>
      </w:r>
    </w:p>
    <w:p w14:paraId="3DA92BBF">
      <w:pPr>
        <w:pStyle w:val="20"/>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eastAsia"/>
        </w:rPr>
      </w:pPr>
      <w:r>
        <w:rPr>
          <w:rFonts w:hint="eastAsia"/>
        </w:rPr>
        <w:t>本规程由云南省住房和城乡建设厅负责管理，由云南省绿色能源行业协会负责具体技术内容的解释。执行过程中如有意见和建议，请寄送</w:t>
      </w:r>
      <w:r>
        <w:rPr>
          <w:rFonts w:hint="eastAsia"/>
          <w:lang w:val="en-US" w:eastAsia="zh-CN"/>
        </w:rPr>
        <w:t>至</w:t>
      </w:r>
      <w:r>
        <w:rPr>
          <w:rFonts w:hint="eastAsia"/>
        </w:rPr>
        <w:t>云南省绿色能源行业协会（地址：</w:t>
      </w:r>
      <w:r>
        <w:rPr>
          <w:rFonts w:hint="eastAsia"/>
          <w:lang w:val="en-US" w:eastAsia="zh-CN"/>
        </w:rPr>
        <w:t>云南省昆明市五华区茭菱路中环金界B座1909</w:t>
      </w:r>
      <w:r>
        <w:rPr>
          <w:rFonts w:hint="eastAsia"/>
        </w:rPr>
        <w:t>，邮编：</w:t>
      </w:r>
      <w:r>
        <w:rPr>
          <w:rFonts w:hint="eastAsia"/>
          <w:lang w:val="en-US" w:eastAsia="zh-CN"/>
        </w:rPr>
        <w:t>650106，邮箱：</w:t>
      </w:r>
      <w:r>
        <w:rPr>
          <w:rFonts w:hint="eastAsia"/>
        </w:rPr>
        <w:t>ynslsny@163.com）。</w:t>
      </w:r>
    </w:p>
    <w:p w14:paraId="045B4B06">
      <w:pPr>
        <w:pStyle w:val="20"/>
        <w:keepNext w:val="0"/>
        <w:keepLines w:val="0"/>
        <w:pageBreakBefore w:val="0"/>
        <w:widowControl w:val="0"/>
        <w:kinsoku/>
        <w:wordWrap/>
        <w:overflowPunct/>
        <w:topLinePunct w:val="0"/>
        <w:autoSpaceDE w:val="0"/>
        <w:autoSpaceDN w:val="0"/>
        <w:bidi w:val="0"/>
        <w:adjustRightInd w:val="0"/>
        <w:snapToGrid w:val="0"/>
        <w:ind w:firstLine="560" w:firstLineChars="200"/>
        <w:textAlignment w:val="auto"/>
        <w:rPr>
          <w:rFonts w:hint="eastAsia" w:ascii="黑体" w:hAnsi="黑体" w:eastAsia="黑体" w:cs="黑体"/>
        </w:rPr>
      </w:pPr>
      <w:r>
        <w:rPr>
          <w:rFonts w:hint="eastAsia" w:ascii="黑体" w:hAnsi="黑体" w:eastAsia="黑体" w:cs="黑体"/>
        </w:rPr>
        <w:t>主编单位：</w:t>
      </w:r>
    </w:p>
    <w:p w14:paraId="6309F6CD">
      <w:pPr>
        <w:pStyle w:val="20"/>
        <w:keepNext w:val="0"/>
        <w:keepLines w:val="0"/>
        <w:pageBreakBefore w:val="0"/>
        <w:widowControl w:val="0"/>
        <w:kinsoku/>
        <w:wordWrap/>
        <w:overflowPunct/>
        <w:topLinePunct w:val="0"/>
        <w:autoSpaceDE w:val="0"/>
        <w:autoSpaceDN w:val="0"/>
        <w:bidi w:val="0"/>
        <w:adjustRightInd w:val="0"/>
        <w:snapToGrid w:val="0"/>
        <w:ind w:firstLine="560" w:firstLineChars="200"/>
        <w:textAlignment w:val="auto"/>
        <w:rPr>
          <w:rFonts w:hint="eastAsia" w:ascii="黑体" w:hAnsi="黑体" w:eastAsia="黑体" w:cs="黑体"/>
        </w:rPr>
      </w:pPr>
      <w:r>
        <w:rPr>
          <w:rFonts w:hint="eastAsia" w:ascii="黑体" w:hAnsi="黑体" w:eastAsia="黑体" w:cs="黑体"/>
        </w:rPr>
        <w:t>参编单位：</w:t>
      </w:r>
    </w:p>
    <w:p w14:paraId="5577DFC5">
      <w:pPr>
        <w:pStyle w:val="20"/>
        <w:keepNext w:val="0"/>
        <w:keepLines w:val="0"/>
        <w:pageBreakBefore w:val="0"/>
        <w:widowControl w:val="0"/>
        <w:kinsoku/>
        <w:wordWrap/>
        <w:overflowPunct/>
        <w:topLinePunct w:val="0"/>
        <w:autoSpaceDE w:val="0"/>
        <w:autoSpaceDN w:val="0"/>
        <w:bidi w:val="0"/>
        <w:adjustRightInd w:val="0"/>
        <w:snapToGrid w:val="0"/>
        <w:ind w:firstLine="560" w:firstLineChars="200"/>
        <w:textAlignment w:val="auto"/>
        <w:rPr>
          <w:rFonts w:hint="eastAsia" w:ascii="黑体" w:hAnsi="黑体" w:eastAsia="黑体" w:cs="黑体"/>
        </w:rPr>
      </w:pPr>
      <w:r>
        <w:rPr>
          <w:rFonts w:hint="eastAsia" w:ascii="黑体" w:hAnsi="黑体" w:eastAsia="黑体" w:cs="黑体"/>
        </w:rPr>
        <w:t>主要起草人员：</w:t>
      </w:r>
    </w:p>
    <w:p w14:paraId="50FD5A5E">
      <w:pPr>
        <w:pStyle w:val="20"/>
        <w:keepNext w:val="0"/>
        <w:keepLines w:val="0"/>
        <w:pageBreakBefore w:val="0"/>
        <w:widowControl w:val="0"/>
        <w:kinsoku/>
        <w:wordWrap/>
        <w:overflowPunct/>
        <w:topLinePunct w:val="0"/>
        <w:autoSpaceDE w:val="0"/>
        <w:autoSpaceDN w:val="0"/>
        <w:bidi w:val="0"/>
        <w:adjustRightInd w:val="0"/>
        <w:snapToGrid w:val="0"/>
        <w:ind w:firstLine="560" w:firstLineChars="200"/>
        <w:textAlignment w:val="auto"/>
        <w:rPr>
          <w:rFonts w:hint="eastAsia" w:ascii="黑体" w:hAnsi="黑体" w:eastAsia="黑体" w:cs="黑体"/>
        </w:rPr>
      </w:pPr>
      <w:r>
        <w:rPr>
          <w:rFonts w:hint="eastAsia" w:ascii="黑体" w:hAnsi="黑体" w:eastAsia="黑体" w:cs="黑体"/>
        </w:rPr>
        <w:t>主要审查人员：</w:t>
      </w:r>
    </w:p>
    <w:p w14:paraId="0DCD8F09">
      <w:pPr>
        <w:pStyle w:val="20"/>
        <w:keepNext w:val="0"/>
        <w:keepLines w:val="0"/>
        <w:pageBreakBefore w:val="0"/>
        <w:widowControl w:val="0"/>
        <w:kinsoku/>
        <w:wordWrap/>
        <w:overflowPunct/>
        <w:topLinePunct w:val="0"/>
        <w:autoSpaceDE w:val="0"/>
        <w:autoSpaceDN w:val="0"/>
        <w:bidi w:val="0"/>
        <w:adjustRightInd w:val="0"/>
        <w:snapToGrid w:val="0"/>
        <w:ind w:firstLine="560" w:firstLineChars="200"/>
        <w:textAlignment w:val="auto"/>
        <w:rPr>
          <w:rFonts w:hint="eastAsia" w:ascii="黑体" w:hAnsi="黑体" w:eastAsia="黑体" w:cs="黑体"/>
        </w:rPr>
      </w:pPr>
    </w:p>
    <w:p w14:paraId="009262C7">
      <w:pPr>
        <w:spacing w:before="0" w:beforeLines="0" w:after="0" w:afterLines="0" w:line="240" w:lineRule="auto"/>
        <w:ind w:left="0" w:leftChars="0" w:right="0" w:rightChars="0" w:firstLine="0" w:firstLineChars="0"/>
        <w:jc w:val="center"/>
      </w:pPr>
    </w:p>
    <w:p w14:paraId="7CEB03B1">
      <w:pPr>
        <w:spacing w:before="0" w:beforeLines="0" w:after="0" w:afterLines="0" w:line="240" w:lineRule="auto"/>
        <w:ind w:left="0" w:leftChars="0" w:right="0" w:rightChars="0" w:firstLine="0" w:firstLineChars="0"/>
        <w:jc w:val="center"/>
      </w:pPr>
    </w:p>
    <w:p w14:paraId="595C7F41">
      <w:pPr>
        <w:spacing w:before="0" w:beforeLines="0" w:after="0" w:afterLines="0" w:line="240" w:lineRule="auto"/>
        <w:ind w:left="0" w:leftChars="0" w:right="0" w:rightChars="0" w:firstLine="0" w:firstLineChars="0"/>
        <w:jc w:val="center"/>
      </w:pPr>
    </w:p>
    <w:p w14:paraId="6B8F292C">
      <w:pPr>
        <w:spacing w:before="0" w:beforeLines="0" w:after="0" w:afterLines="0" w:line="240" w:lineRule="auto"/>
        <w:ind w:left="0" w:leftChars="0" w:right="0" w:rightChars="0" w:firstLine="0" w:firstLineChars="0"/>
        <w:jc w:val="center"/>
      </w:pPr>
    </w:p>
    <w:p w14:paraId="68263E56">
      <w:pPr>
        <w:spacing w:before="0" w:beforeLines="0" w:after="0" w:afterLines="0" w:line="240" w:lineRule="auto"/>
        <w:ind w:left="0" w:leftChars="0" w:right="0" w:rightChars="0" w:firstLine="0" w:firstLineChars="0"/>
        <w:jc w:val="center"/>
      </w:pPr>
    </w:p>
    <w:p w14:paraId="142EE15F">
      <w:pPr>
        <w:spacing w:before="0" w:beforeLines="0" w:after="0" w:afterLines="0" w:line="240" w:lineRule="auto"/>
        <w:ind w:left="0" w:leftChars="0" w:right="0" w:rightChars="0" w:firstLine="0" w:firstLineChars="0"/>
        <w:jc w:val="center"/>
      </w:pPr>
    </w:p>
    <w:p w14:paraId="051AEFE1">
      <w:pPr>
        <w:spacing w:before="0" w:beforeLines="0" w:after="0" w:afterLines="0" w:line="240" w:lineRule="auto"/>
        <w:ind w:left="0" w:leftChars="0" w:right="0" w:rightChars="0" w:firstLine="0" w:firstLineChars="0"/>
        <w:jc w:val="center"/>
      </w:pPr>
    </w:p>
    <w:p w14:paraId="785E5D71">
      <w:pPr>
        <w:spacing w:before="0" w:beforeLines="0" w:after="0" w:afterLines="0" w:line="240" w:lineRule="auto"/>
        <w:ind w:left="0" w:leftChars="0" w:right="0" w:rightChars="0" w:firstLine="0" w:firstLineChars="0"/>
        <w:jc w:val="center"/>
      </w:pPr>
    </w:p>
    <w:p w14:paraId="1AF3D972">
      <w:pPr>
        <w:spacing w:before="0" w:beforeLines="0" w:after="0" w:afterLines="0" w:line="240" w:lineRule="auto"/>
        <w:ind w:left="0" w:leftChars="0" w:right="0" w:rightChars="0" w:firstLine="0" w:firstLineChars="0"/>
        <w:jc w:val="center"/>
      </w:pPr>
    </w:p>
    <w:p w14:paraId="571A6AAE">
      <w:pPr>
        <w:spacing w:before="0" w:beforeLines="0" w:after="0" w:afterLines="0" w:line="240" w:lineRule="auto"/>
        <w:ind w:left="0" w:leftChars="0" w:right="0" w:rightChars="0" w:firstLine="0" w:firstLineChars="0"/>
        <w:jc w:val="center"/>
      </w:pPr>
    </w:p>
    <w:p w14:paraId="3DCFF526">
      <w:pPr>
        <w:spacing w:before="0" w:beforeLines="0" w:after="0" w:afterLines="0" w:line="240" w:lineRule="auto"/>
        <w:ind w:left="0" w:leftChars="0" w:right="0" w:rightChars="0" w:firstLine="0" w:firstLineChars="0"/>
        <w:jc w:val="center"/>
      </w:pPr>
    </w:p>
    <w:p w14:paraId="089CABC4">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sectPr>
          <w:footerReference r:id="rId5" w:type="default"/>
          <w:pgSz w:w="11906" w:h="16838"/>
          <w:pgMar w:top="1440" w:right="1531" w:bottom="1440" w:left="1531" w:header="851" w:footer="992" w:gutter="0"/>
          <w:pgBorders w:offsetFrom="page">
            <w:top w:val="none" w:sz="0" w:space="0"/>
            <w:left w:val="none" w:sz="0" w:space="0"/>
            <w:bottom w:val="none" w:sz="0" w:space="0"/>
            <w:right w:val="none" w:sz="0" w:space="0"/>
          </w:pgBorders>
          <w:pgNumType w:fmt="decimal"/>
          <w:cols w:space="425" w:num="1"/>
          <w:docGrid w:type="lines" w:linePitch="312" w:charSpace="0"/>
        </w:sectPr>
      </w:pPr>
    </w:p>
    <w:sdt>
      <w:sdtPr>
        <w:rPr>
          <w:rFonts w:ascii="宋体" w:hAnsi="宋体" w:eastAsia="宋体" w:cstheme="minorBidi"/>
          <w:kern w:val="2"/>
          <w:sz w:val="21"/>
          <w:szCs w:val="24"/>
          <w:lang w:val="en-US" w:eastAsia="zh-CN" w:bidi="ar-SA"/>
        </w:rPr>
        <w:id w:val="147477283"/>
        <w15:color w:val="DBDBDB"/>
        <w:docPartObj>
          <w:docPartGallery w:val="Table of Contents"/>
          <w:docPartUnique/>
        </w:docPartObj>
      </w:sdtPr>
      <w:sdtEndPr>
        <w:rPr>
          <w:rFonts w:asciiTheme="minorHAnsi" w:hAnsiTheme="minorHAnsi" w:eastAsiaTheme="minorEastAsia" w:cstheme="minorBidi"/>
          <w:b/>
          <w:kern w:val="2"/>
          <w:sz w:val="21"/>
          <w:szCs w:val="24"/>
          <w:lang w:val="en-US" w:eastAsia="zh-CN" w:bidi="ar-SA"/>
        </w:rPr>
      </w:sdtEndPr>
      <w:sdtContent>
        <w:p w14:paraId="4F7DC509">
          <w:pPr>
            <w:spacing w:before="0" w:beforeLines="0" w:after="0" w:afterLines="0" w:line="240" w:lineRule="auto"/>
            <w:ind w:left="0" w:leftChars="0" w:right="0" w:rightChars="0" w:firstLine="0" w:firstLineChars="0"/>
            <w:jc w:val="center"/>
            <w:rPr>
              <w:rFonts w:ascii="宋体" w:hAnsi="宋体" w:eastAsia="宋体"/>
              <w:sz w:val="44"/>
              <w:szCs w:val="44"/>
            </w:rPr>
          </w:pPr>
          <w:r>
            <w:rPr>
              <w:rFonts w:ascii="宋体" w:hAnsi="宋体" w:eastAsia="宋体"/>
              <w:sz w:val="44"/>
              <w:szCs w:val="44"/>
            </w:rPr>
            <w:t>目</w:t>
          </w:r>
          <w:r>
            <w:rPr>
              <w:rFonts w:hint="eastAsia" w:ascii="宋体" w:hAnsi="宋体" w:eastAsia="宋体"/>
              <w:sz w:val="44"/>
              <w:szCs w:val="44"/>
              <w:lang w:val="en-US" w:eastAsia="zh-CN"/>
            </w:rPr>
            <w:t xml:space="preserve">  </w:t>
          </w:r>
          <w:r>
            <w:rPr>
              <w:rFonts w:ascii="宋体" w:hAnsi="宋体" w:eastAsia="宋体"/>
              <w:sz w:val="44"/>
              <w:szCs w:val="44"/>
            </w:rPr>
            <w:t>录</w:t>
          </w:r>
        </w:p>
        <w:p w14:paraId="7D0DD792">
          <w:pPr>
            <w:spacing w:before="0" w:beforeLines="0" w:after="0" w:afterLines="0" w:line="240" w:lineRule="auto"/>
            <w:ind w:left="0" w:leftChars="0" w:right="0" w:rightChars="0" w:firstLine="0" w:firstLineChars="0"/>
            <w:jc w:val="center"/>
            <w:rPr>
              <w:rFonts w:ascii="宋体" w:hAnsi="宋体" w:eastAsia="宋体"/>
              <w:sz w:val="44"/>
              <w:szCs w:val="44"/>
            </w:rPr>
          </w:pPr>
        </w:p>
        <w:p w14:paraId="12446EA4">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fldChar w:fldCharType="begin"/>
          </w:r>
          <w:r>
            <w:instrText xml:space="preserve">TOC \o "1-2" \h \u </w:instrText>
          </w:r>
          <w:r>
            <w:fldChar w:fldCharType="separate"/>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_Toc23916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sz w:val="24"/>
              <w:szCs w:val="24"/>
              <w:lang w:val="en-US" w:eastAsia="zh-CN"/>
            </w:rPr>
            <w:t xml:space="preserve">  总</w:t>
          </w:r>
          <w:r>
            <w:rPr>
              <w:rFonts w:hint="eastAsia" w:asciiTheme="minorEastAsia" w:hAnsiTheme="minorEastAsia" w:eastAsiaTheme="minorEastAsia" w:cstheme="minorEastAsia"/>
              <w:sz w:val="24"/>
              <w:szCs w:val="24"/>
              <w:lang w:eastAsia="zh-CN"/>
            </w:rPr>
            <w:t>　　</w:t>
          </w:r>
          <w:r>
            <w:rPr>
              <w:rFonts w:hint="eastAsia" w:asciiTheme="minorEastAsia" w:hAnsiTheme="minorEastAsia" w:eastAsiaTheme="minorEastAsia" w:cstheme="minorEastAsia"/>
              <w:sz w:val="24"/>
              <w:szCs w:val="24"/>
              <w:lang w:val="en-US" w:eastAsia="zh-CN"/>
            </w:rPr>
            <w:t>则</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_Toc23916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29B7D6B1">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_Toc20422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lang w:val="en-US" w:eastAsia="zh-CN"/>
            </w:rPr>
            <w:t>2</w:t>
          </w:r>
          <w:r>
            <w:rPr>
              <w:rFonts w:hint="eastAsia" w:asciiTheme="minorEastAsia" w:hAnsiTheme="minorEastAsia" w:eastAsiaTheme="minorEastAsia" w:cstheme="minorEastAsia"/>
              <w:sz w:val="24"/>
              <w:szCs w:val="24"/>
              <w:lang w:val="en-US" w:eastAsia="zh-CN"/>
            </w:rPr>
            <w:t xml:space="preserve">  术</w:t>
          </w:r>
          <w:r>
            <w:rPr>
              <w:rFonts w:hint="eastAsia" w:asciiTheme="minorEastAsia" w:hAnsiTheme="minorEastAsia" w:eastAsiaTheme="minorEastAsia" w:cstheme="minorEastAsia"/>
              <w:sz w:val="24"/>
              <w:szCs w:val="24"/>
              <w:lang w:eastAsia="zh-CN"/>
            </w:rPr>
            <w:t>　　</w:t>
          </w:r>
          <w:r>
            <w:rPr>
              <w:rFonts w:hint="eastAsia" w:asciiTheme="minorEastAsia" w:hAnsiTheme="minorEastAsia" w:eastAsiaTheme="minorEastAsia" w:cstheme="minorEastAsia"/>
              <w:sz w:val="24"/>
              <w:szCs w:val="24"/>
              <w:lang w:val="en-US" w:eastAsia="zh-CN"/>
            </w:rPr>
            <w:t>语</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_Toc20422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21DD3806">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_Toc15363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lang w:val="en-US" w:eastAsia="zh-CN"/>
            </w:rPr>
            <w:t>3</w:t>
          </w:r>
          <w:r>
            <w:rPr>
              <w:rFonts w:hint="eastAsia" w:asciiTheme="minorEastAsia" w:hAnsiTheme="minorEastAsia" w:eastAsiaTheme="minorEastAsia" w:cstheme="minorEastAsia"/>
              <w:sz w:val="24"/>
              <w:szCs w:val="24"/>
              <w:lang w:val="en-US" w:eastAsia="zh-CN"/>
            </w:rPr>
            <w:t xml:space="preserve">  基本规定</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_Toc15363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3E9F860E">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_Toc17883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lang w:val="en-US" w:eastAsia="zh-CN"/>
            </w:rPr>
            <w:t xml:space="preserve">4  </w:t>
          </w:r>
          <w:r>
            <w:rPr>
              <w:rFonts w:hint="eastAsia" w:asciiTheme="minorEastAsia" w:hAnsiTheme="minorEastAsia" w:eastAsiaTheme="minorEastAsia" w:cstheme="minorEastAsia"/>
              <w:sz w:val="24"/>
              <w:szCs w:val="24"/>
            </w:rPr>
            <w:t>土建工程</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_Toc17883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6220F30C">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_Toc13145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lang w:val="en-US" w:eastAsia="zh-CN"/>
            </w:rPr>
            <w:t>4. 1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一般规定</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_Toc13145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438EF023">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_Toc9661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4.</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土方工程</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_Toc9661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62323679">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_Toc18984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4.</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支架基础</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_Toc18984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5D9BCB31">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_Toc9615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4.</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4</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场地及地下设施</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_Toc9615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3B19AFC0">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_Toc18195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lang w:val="en-US" w:eastAsia="zh-CN"/>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安装工程</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_Toc18195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0D9F75FD">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_Toc24142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5.</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1</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一般规定</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_Toc24142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397F5896">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_Toc8317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5.</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支架安装</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_Toc8317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1ED6CDAA">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_Toc4286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5.</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组件安装</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_Toc4286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4AB44E83">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_Toc28737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5.</w:t>
          </w:r>
          <w:r>
            <w:rPr>
              <w:rFonts w:hint="eastAsia" w:asciiTheme="minorEastAsia" w:hAnsiTheme="minorEastAsia" w:eastAsiaTheme="minorEastAsia" w:cstheme="minorEastAsia"/>
              <w:bCs/>
              <w:sz w:val="24"/>
              <w:szCs w:val="24"/>
              <w:lang w:val="en-US" w:eastAsia="zh-CN"/>
            </w:rPr>
            <w:t xml:space="preserve"> 4  </w:t>
          </w:r>
          <w:r>
            <w:rPr>
              <w:rFonts w:hint="eastAsia" w:asciiTheme="minorEastAsia" w:hAnsiTheme="minorEastAsia" w:eastAsiaTheme="minorEastAsia" w:cstheme="minorEastAsia"/>
              <w:sz w:val="24"/>
              <w:szCs w:val="24"/>
            </w:rPr>
            <w:t>逆变器安装</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_Toc28737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4AAA38CF">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_Toc721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5.</w:t>
          </w:r>
          <w:r>
            <w:rPr>
              <w:rFonts w:hint="eastAsia" w:asciiTheme="minorEastAsia" w:hAnsiTheme="minorEastAsia" w:eastAsiaTheme="minorEastAsia" w:cstheme="minorEastAsia"/>
              <w:bCs/>
              <w:sz w:val="24"/>
              <w:szCs w:val="24"/>
              <w:lang w:val="en-US" w:eastAsia="zh-CN"/>
            </w:rPr>
            <w:t xml:space="preserve"> 5  </w:t>
          </w:r>
          <w:r>
            <w:rPr>
              <w:rFonts w:hint="eastAsia" w:asciiTheme="minorEastAsia" w:hAnsiTheme="minorEastAsia" w:eastAsiaTheme="minorEastAsia" w:cstheme="minorEastAsia"/>
              <w:sz w:val="24"/>
              <w:szCs w:val="24"/>
            </w:rPr>
            <w:t>箱式变压器安装</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_Toc721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72443666">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_Toc12807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5.</w:t>
          </w:r>
          <w:r>
            <w:rPr>
              <w:rFonts w:hint="eastAsia" w:asciiTheme="minorEastAsia" w:hAnsiTheme="minorEastAsia" w:eastAsiaTheme="minorEastAsia" w:cstheme="minorEastAsia"/>
              <w:bCs/>
              <w:sz w:val="24"/>
              <w:szCs w:val="24"/>
              <w:lang w:val="en-US" w:eastAsia="zh-CN"/>
            </w:rPr>
            <w:t xml:space="preserve"> 6  </w:t>
          </w:r>
          <w:r>
            <w:rPr>
              <w:rFonts w:hint="eastAsia" w:asciiTheme="minorEastAsia" w:hAnsiTheme="minorEastAsia" w:eastAsiaTheme="minorEastAsia" w:cstheme="minorEastAsia"/>
              <w:sz w:val="24"/>
              <w:szCs w:val="24"/>
              <w:lang w:val="en-US" w:eastAsia="zh-CN"/>
            </w:rPr>
            <w:t>架空线路及电缆</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_Toc12807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0A248F5E">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_Toc16676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lang w:val="en-US" w:eastAsia="zh-CN"/>
            </w:rPr>
            <w:t xml:space="preserve">5. 7  </w:t>
          </w:r>
          <w:r>
            <w:rPr>
              <w:rFonts w:hint="eastAsia" w:asciiTheme="minorEastAsia" w:hAnsiTheme="minorEastAsia" w:eastAsiaTheme="minorEastAsia" w:cstheme="minorEastAsia"/>
              <w:sz w:val="24"/>
              <w:szCs w:val="24"/>
              <w:lang w:val="en-US" w:eastAsia="zh-CN"/>
            </w:rPr>
            <w:t>电气二次系统</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_Toc16676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53F5F5D2">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_Toc2367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5.</w:t>
          </w:r>
          <w:r>
            <w:rPr>
              <w:rFonts w:hint="eastAsia" w:asciiTheme="minorEastAsia" w:hAnsiTheme="minorEastAsia" w:eastAsiaTheme="minorEastAsia" w:cstheme="minorEastAsia"/>
              <w:bCs/>
              <w:sz w:val="24"/>
              <w:szCs w:val="24"/>
              <w:lang w:val="en-US" w:eastAsia="zh-CN"/>
            </w:rPr>
            <w:t xml:space="preserve"> 8  </w:t>
          </w:r>
          <w:r>
            <w:rPr>
              <w:rFonts w:hint="eastAsia" w:asciiTheme="minorEastAsia" w:hAnsiTheme="minorEastAsia" w:eastAsiaTheme="minorEastAsia" w:cstheme="minorEastAsia"/>
              <w:sz w:val="24"/>
              <w:szCs w:val="24"/>
            </w:rPr>
            <w:t>防雷与接地</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_Toc2367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40B00E7A">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_Toc11656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lang w:val="en-US" w:eastAsia="zh-CN"/>
            </w:rPr>
            <w:t>6</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设备及系统调试</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_Toc11656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41FF7B55">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_Toc29714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6.</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1</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一般规定</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_Toc29714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6EAB98F4">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_Toc19122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6.</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2</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光伏场区调试</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_Toc19122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0CF58A7E">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_Toc15051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6.</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3</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二次系统调试</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_Toc15051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132B2E7C">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_Toc30339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6.</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4</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其他电气设备调试</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_Toc30339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1E623AF2">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_Toc10112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lang w:val="en-US" w:eastAsia="zh-CN"/>
            </w:rPr>
            <w:t>7</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消防工程</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_Toc10112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74F9AE8C">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_Toc3982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7.</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1</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一般规定</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_Toc3982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5D27282E">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_Toc12290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7.</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2</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火灾自动报警系统</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_Toc12290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37DF6C74">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_Toc10176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kern w:val="2"/>
              <w:sz w:val="24"/>
              <w:szCs w:val="24"/>
              <w:lang w:val="en-US" w:eastAsia="zh-CN" w:bidi="ar-SA"/>
            </w:rPr>
            <w:t>7. 3</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kern w:val="2"/>
              <w:sz w:val="24"/>
              <w:szCs w:val="24"/>
              <w:lang w:val="en-US" w:eastAsia="zh-CN" w:bidi="ar-SA"/>
            </w:rPr>
            <w:t>消防给水及灭火系统</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_Toc10176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003E8DCE">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_Toc19554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lang w:val="en-US" w:eastAsia="zh-CN"/>
            </w:rPr>
            <w:t>8</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环境保护与水土保持</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_Toc19554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754B838D">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_Toc13658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8.</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1</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一般规定</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_Toc13658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27C59B95">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_Toc18060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8.</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2</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环境保护</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_Toc18060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76A82450">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_Toc31895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8.</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3</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水土保持</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_Toc31895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580D07DE">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_Toc29637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lang w:val="en-US" w:eastAsia="zh-CN"/>
            </w:rPr>
            <w:t>9</w:t>
          </w:r>
          <w:r>
            <w:rPr>
              <w:rFonts w:hint="eastAsia" w:asciiTheme="minorEastAsia" w:hAnsiTheme="minorEastAsia" w:eastAsiaTheme="minorEastAsia" w:cstheme="minorEastAsia"/>
              <w:sz w:val="24"/>
              <w:szCs w:val="24"/>
              <w:lang w:val="en-US" w:eastAsia="zh-CN"/>
            </w:rPr>
            <w:t xml:space="preserve">  安全与职业健康</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_Toc29637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3E52983C">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_Toc32697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9.</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1</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一般规定</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_Toc32697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47909D35">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_Toc3859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9.</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2</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安全文明施工总体规划</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_Toc3859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3DADFE00">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_Toc28757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val="0"/>
              <w:sz w:val="24"/>
              <w:szCs w:val="24"/>
            </w:rPr>
            <w:t>9.</w:t>
          </w:r>
          <w:r>
            <w:rPr>
              <w:rFonts w:hint="eastAsia" w:asciiTheme="minorEastAsia" w:hAnsiTheme="minorEastAsia" w:eastAsiaTheme="minorEastAsia" w:cstheme="minorEastAsia"/>
              <w:bCs w:val="0"/>
              <w:sz w:val="24"/>
              <w:szCs w:val="24"/>
              <w:lang w:val="en-US" w:eastAsia="zh-CN"/>
            </w:rPr>
            <w:t xml:space="preserve"> </w:t>
          </w:r>
          <w:r>
            <w:rPr>
              <w:rFonts w:hint="eastAsia" w:asciiTheme="minorEastAsia" w:hAnsiTheme="minorEastAsia" w:eastAsiaTheme="minorEastAsia" w:cstheme="minorEastAsia"/>
              <w:bCs w:val="0"/>
              <w:sz w:val="24"/>
              <w:szCs w:val="24"/>
            </w:rPr>
            <w:t>3</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安全施工管理</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_Toc28757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626CCE5B">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_Toc25550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9.</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4</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职业健康管理</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_Toc25550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50902153">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_Toc13327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9.</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5</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应急处理</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_Toc13327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7A5CD4D9">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_Toc12793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rPr>
            <w:t>10</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工程验收</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_Toc12793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2D8A94D8">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_Toc24616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lang w:val="en-US" w:eastAsia="zh-CN"/>
            </w:rPr>
            <w:t>10</w:t>
          </w:r>
          <w:r>
            <w:rPr>
              <w:rFonts w:hint="eastAsia" w:asciiTheme="minorEastAsia" w:hAnsiTheme="minorEastAsia" w:eastAsiaTheme="minorEastAsia" w:cstheme="minorEastAsia"/>
              <w:bCs/>
              <w:sz w:val="24"/>
              <w:szCs w:val="24"/>
            </w:rPr>
            <w:t>.</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bCs/>
              <w:sz w:val="24"/>
              <w:szCs w:val="24"/>
            </w:rPr>
            <w:t>1</w:t>
          </w:r>
          <w:r>
            <w:rPr>
              <w:rFonts w:hint="eastAsia" w:asciiTheme="minorEastAsia" w:hAnsiTheme="minorEastAsia" w:eastAsiaTheme="minorEastAsia" w:cstheme="minorEastAsia"/>
              <w:bCs/>
              <w:sz w:val="24"/>
              <w:szCs w:val="24"/>
              <w:lang w:val="en-US" w:eastAsia="zh-CN"/>
            </w:rPr>
            <w:t xml:space="preserve">  </w:t>
          </w:r>
          <w:r>
            <w:rPr>
              <w:rFonts w:hint="eastAsia" w:asciiTheme="minorEastAsia" w:hAnsiTheme="minorEastAsia" w:eastAsiaTheme="minorEastAsia" w:cstheme="minorEastAsia"/>
              <w:sz w:val="24"/>
              <w:szCs w:val="24"/>
            </w:rPr>
            <w:t>一般规定</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_Toc24616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677C2A44">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_Toc16906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lang w:val="en-US" w:eastAsia="zh-CN"/>
            </w:rPr>
            <w:t>10. 2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施工质量验收范围划分</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_Toc16906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495DF1AC">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_Toc27273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bCs/>
              <w:sz w:val="24"/>
              <w:szCs w:val="24"/>
              <w:lang w:val="en-US" w:eastAsia="zh-CN"/>
            </w:rPr>
            <w:t>10. 3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施工质量的验收</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_Toc27273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55E1EB91">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_Toc3146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附录A</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交通工程质量验收范围划分表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_Toc3146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6F7C3D72">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_Toc1083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附录B</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升压站建筑工程质量验收范围划分表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_Toc1083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7DB1B634">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_Toc14335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附录C</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升压站电气安装工程质量验收范围划分表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_Toc14335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0DCDF3E2">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_Toc28766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附录D</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升压站电气调试工程质量验收范围划分表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_Toc28766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55218AA4">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_Toc6383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附录E</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光伏区土建工程质量验收范围划分表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_Toc6383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7537140E">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_Toc1057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附录F</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光伏区安装工程质量验收范围划分表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_Toc1057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3522549C">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_Toc17927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附录G</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光伏区调试工程质量验收范围划分表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_Toc17927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57485872">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_Toc8020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附录H</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绿化工程质量验收范围划分表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_Toc8020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6E8BA545">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_Toc31269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附录</w:t>
          </w:r>
          <w:r>
            <w:rPr>
              <w:rFonts w:hint="eastAsia" w:asciiTheme="minorEastAsia" w:hAnsiTheme="minorEastAsia" w:eastAsiaTheme="minorEastAsia" w:cstheme="minorEastAsia"/>
              <w:sz w:val="24"/>
              <w:szCs w:val="24"/>
              <w:lang w:val="en-US" w:eastAsia="zh-CN"/>
            </w:rPr>
            <w:t xml:space="preserve">J  </w:t>
          </w:r>
          <w:r>
            <w:rPr>
              <w:rFonts w:hint="eastAsia" w:asciiTheme="minorEastAsia" w:hAnsiTheme="minorEastAsia" w:eastAsiaTheme="minorEastAsia" w:cstheme="minorEastAsia"/>
              <w:sz w:val="24"/>
              <w:szCs w:val="24"/>
            </w:rPr>
            <w:t>集电线路工程质量验收范围划分表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_Toc31269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69519159">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_Toc10871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附录</w:t>
          </w:r>
          <w:r>
            <w:rPr>
              <w:rFonts w:hint="eastAsia" w:asciiTheme="minorEastAsia" w:hAnsiTheme="minorEastAsia" w:eastAsiaTheme="minorEastAsia" w:cstheme="minorEastAsia"/>
              <w:sz w:val="24"/>
              <w:szCs w:val="24"/>
              <w:lang w:val="en-US" w:eastAsia="zh-CN"/>
            </w:rPr>
            <w:t xml:space="preserve">K  </w:t>
          </w:r>
          <w:r>
            <w:rPr>
              <w:rFonts w:hint="eastAsia" w:asciiTheme="minorEastAsia" w:hAnsiTheme="minorEastAsia" w:eastAsiaTheme="minorEastAsia" w:cstheme="minorEastAsia"/>
              <w:sz w:val="24"/>
              <w:szCs w:val="24"/>
            </w:rPr>
            <w:t>送出线路工程质量验收范围划分表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_Toc10871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1E201DEA">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_Toc14430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lang w:val="en-US" w:eastAsia="zh-CN"/>
            </w:rPr>
            <w:t>本规程用词说明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_Toc14430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439380A1">
          <w:pPr>
            <w:pStyle w:val="9"/>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_Toc20101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lang w:val="en-US" w:eastAsia="zh-CN"/>
            </w:rPr>
            <w:t>引用标准名录</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_Toc20101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226CD0C1">
          <w:pPr>
            <w:pStyle w:val="10"/>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ind w:left="0" w:leftChars="0" w:firstLine="0" w:firstLineChars="0"/>
            <w:textAlignment w:val="auto"/>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_Toc14126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napToGrid/>
              <w:kern w:val="0"/>
              <w:sz w:val="24"/>
              <w:szCs w:val="24"/>
              <w:lang w:val="en-US" w:eastAsia="zh-CN" w:bidi="ar-SA"/>
            </w:rPr>
            <w:t>条文说明</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_Toc14126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fldChar w:fldCharType="end"/>
          </w:r>
        </w:p>
        <w:p w14:paraId="6AB3E251">
          <w:pPr>
            <w:spacing w:before="0" w:beforeLines="0" w:after="0" w:afterLines="0" w:line="240" w:lineRule="auto"/>
            <w:ind w:left="0" w:leftChars="0" w:right="0" w:rightChars="0" w:firstLine="0" w:firstLineChars="0"/>
            <w:jc w:val="both"/>
            <w:rPr>
              <w:rFonts w:asciiTheme="minorHAnsi" w:hAnsiTheme="minorHAnsi" w:eastAsiaTheme="minorEastAsia" w:cstheme="minorBidi"/>
              <w:b/>
              <w:kern w:val="2"/>
              <w:sz w:val="21"/>
              <w:szCs w:val="24"/>
              <w:lang w:val="en-US" w:eastAsia="zh-CN" w:bidi="ar-SA"/>
            </w:rPr>
          </w:pPr>
          <w:r>
            <w:fldChar w:fldCharType="end"/>
          </w:r>
        </w:p>
      </w:sdtContent>
    </w:sdt>
    <w:p w14:paraId="35A9B946">
      <w:pPr>
        <w:pStyle w:val="26"/>
        <w:bidi w:val="0"/>
        <w:outlineLvl w:val="0"/>
        <w:rPr>
          <w:rFonts w:hint="eastAsia"/>
          <w:b/>
          <w:bCs/>
          <w:lang w:val="en-US" w:eastAsia="zh-CN"/>
        </w:rPr>
        <w:sectPr>
          <w:footerReference r:id="rId6" w:type="default"/>
          <w:pgSz w:w="11906" w:h="16838"/>
          <w:pgMar w:top="1440" w:right="1531" w:bottom="1440" w:left="1531" w:header="851" w:footer="992" w:gutter="0"/>
          <w:pgBorders w:offsetFrom="page">
            <w:top w:val="none" w:sz="0" w:space="0"/>
            <w:left w:val="none" w:sz="0" w:space="0"/>
            <w:bottom w:val="none" w:sz="0" w:space="0"/>
            <w:right w:val="none" w:sz="0" w:space="0"/>
          </w:pgBorders>
          <w:pgNumType w:fmt="decimal"/>
          <w:cols w:space="425" w:num="1"/>
          <w:docGrid w:type="lines" w:linePitch="312" w:charSpace="0"/>
        </w:sectPr>
      </w:pPr>
    </w:p>
    <w:p w14:paraId="7AE5AE0F">
      <w:pPr>
        <w:pStyle w:val="26"/>
        <w:bidi w:val="0"/>
        <w:outlineLvl w:val="0"/>
        <w:rPr>
          <w:rFonts w:hint="eastAsia"/>
          <w:lang w:val="en-US" w:eastAsia="zh-CN"/>
        </w:rPr>
      </w:pPr>
      <w:bookmarkStart w:id="3" w:name="_Toc23916"/>
      <w:r>
        <w:rPr>
          <w:rFonts w:hint="eastAsia"/>
          <w:b/>
          <w:bCs/>
          <w:lang w:val="en-US" w:eastAsia="zh-CN"/>
        </w:rPr>
        <w:t>1</w:t>
      </w:r>
      <w:r>
        <w:rPr>
          <w:rFonts w:hint="eastAsia"/>
          <w:lang w:val="en-US" w:eastAsia="zh-CN"/>
        </w:rPr>
        <w:t xml:space="preserve">  总</w:t>
      </w:r>
      <w:r>
        <w:rPr>
          <w:rFonts w:hint="eastAsia"/>
          <w:lang w:eastAsia="zh-CN"/>
        </w:rPr>
        <w:t>　　</w:t>
      </w:r>
      <w:r>
        <w:rPr>
          <w:rFonts w:hint="eastAsia"/>
          <w:lang w:val="en-US" w:eastAsia="zh-CN"/>
        </w:rPr>
        <w:t>则</w:t>
      </w:r>
      <w:bookmarkEnd w:id="2"/>
      <w:bookmarkEnd w:id="3"/>
    </w:p>
    <w:p w14:paraId="185EF1E5">
      <w:pPr>
        <w:pStyle w:val="20"/>
        <w:bidi w:val="0"/>
        <w:rPr>
          <w:rFonts w:hint="eastAsia"/>
        </w:rPr>
      </w:pPr>
      <w:r>
        <w:rPr>
          <w:rFonts w:hint="eastAsia"/>
          <w:b/>
          <w:bCs/>
        </w:rPr>
        <w:t>1.</w:t>
      </w:r>
      <w:r>
        <w:rPr>
          <w:rFonts w:hint="eastAsia"/>
          <w:b/>
          <w:bCs/>
          <w:lang w:val="en-US" w:eastAsia="zh-CN"/>
        </w:rPr>
        <w:t xml:space="preserve"> 0. </w:t>
      </w:r>
      <w:r>
        <w:rPr>
          <w:rFonts w:hint="eastAsia"/>
          <w:b/>
          <w:bCs/>
        </w:rPr>
        <w:t>1</w:t>
      </w:r>
      <w:r>
        <w:rPr>
          <w:rFonts w:hint="eastAsia"/>
          <w:b/>
          <w:bCs/>
          <w:lang w:val="en-US" w:eastAsia="zh-CN"/>
        </w:rPr>
        <w:t xml:space="preserve">  </w:t>
      </w:r>
      <w:r>
        <w:rPr>
          <w:rFonts w:hint="eastAsia"/>
        </w:rPr>
        <w:t>为推动云南省太阳能光伏发电</w:t>
      </w:r>
      <w:r>
        <w:rPr>
          <w:rFonts w:hint="eastAsia"/>
          <w:lang w:val="en-US" w:eastAsia="zh-CN"/>
        </w:rPr>
        <w:t>行业健康、有序发展</w:t>
      </w:r>
      <w:r>
        <w:rPr>
          <w:rFonts w:hint="eastAsia"/>
        </w:rPr>
        <w:t>，充分利用太阳能资源</w:t>
      </w:r>
      <w:r>
        <w:rPr>
          <w:rFonts w:hint="eastAsia"/>
          <w:lang w:eastAsia="zh-CN"/>
        </w:rPr>
        <w:t>，</w:t>
      </w:r>
      <w:r>
        <w:rPr>
          <w:rFonts w:hint="eastAsia"/>
        </w:rPr>
        <w:t>建立安全的能源供应体系，规范太阳能光伏发电</w:t>
      </w:r>
      <w:r>
        <w:rPr>
          <w:rFonts w:hint="eastAsia"/>
          <w:lang w:val="en-US" w:eastAsia="zh-CN"/>
        </w:rPr>
        <w:t>工程</w:t>
      </w:r>
      <w:r>
        <w:rPr>
          <w:rFonts w:hint="eastAsia"/>
        </w:rPr>
        <w:t>的</w:t>
      </w:r>
      <w:r>
        <w:rPr>
          <w:rFonts w:hint="eastAsia"/>
          <w:lang w:val="en-US" w:eastAsia="zh-CN"/>
        </w:rPr>
        <w:t>施工及验收</w:t>
      </w:r>
      <w:r>
        <w:rPr>
          <w:rFonts w:hint="eastAsia"/>
        </w:rPr>
        <w:t>，</w:t>
      </w:r>
      <w:r>
        <w:rPr>
          <w:rFonts w:hint="eastAsia"/>
          <w:lang w:val="en-US" w:eastAsia="zh-CN"/>
        </w:rPr>
        <w:t>确保工程建设质量及系统安全运行</w:t>
      </w:r>
      <w:r>
        <w:rPr>
          <w:rFonts w:hint="eastAsia"/>
        </w:rPr>
        <w:t>，制定本</w:t>
      </w:r>
      <w:r>
        <w:rPr>
          <w:rFonts w:hint="eastAsia"/>
          <w:lang w:val="en-US" w:eastAsia="zh-CN"/>
        </w:rPr>
        <w:t>规程</w:t>
      </w:r>
      <w:r>
        <w:rPr>
          <w:rFonts w:hint="eastAsia"/>
        </w:rPr>
        <w:t>。</w:t>
      </w:r>
    </w:p>
    <w:p w14:paraId="3C79A250">
      <w:pPr>
        <w:pStyle w:val="20"/>
        <w:bidi w:val="0"/>
        <w:rPr>
          <w:rFonts w:hint="eastAsia"/>
        </w:rPr>
      </w:pPr>
      <w:r>
        <w:rPr>
          <w:rFonts w:hint="eastAsia" w:ascii="Times New Roman" w:hAnsi="Times New Roman" w:eastAsia="宋体" w:cs="Times New Roman"/>
          <w:b/>
          <w:bCs/>
        </w:rPr>
        <w:t>1.</w:t>
      </w:r>
      <w:r>
        <w:rPr>
          <w:rFonts w:hint="eastAsia" w:ascii="Times New Roman" w:hAnsi="Times New Roman" w:eastAsia="宋体" w:cs="Times New Roman"/>
          <w:b/>
          <w:bCs/>
          <w:lang w:val="en-US" w:eastAsia="zh-CN"/>
        </w:rPr>
        <w:t xml:space="preserve"> 0. </w:t>
      </w:r>
      <w:r>
        <w:rPr>
          <w:rFonts w:hint="eastAsia" w:ascii="Times New Roman" w:hAnsi="Times New Roman" w:eastAsia="宋体" w:cs="Times New Roman"/>
          <w:b/>
          <w:bCs/>
        </w:rPr>
        <w:t>2</w:t>
      </w:r>
      <w:r>
        <w:rPr>
          <w:rFonts w:hint="eastAsia" w:ascii="Times New Roman" w:hAnsi="Times New Roman" w:eastAsia="宋体" w:cs="Times New Roman"/>
          <w:b/>
          <w:bCs/>
          <w:lang w:val="en-US" w:eastAsia="zh-CN"/>
        </w:rPr>
        <w:t xml:space="preserve">  </w:t>
      </w:r>
      <w:r>
        <w:rPr>
          <w:rFonts w:hint="eastAsia"/>
        </w:rPr>
        <w:t>本规程适用于</w:t>
      </w:r>
      <w:r>
        <w:rPr>
          <w:rFonts w:hint="eastAsia"/>
          <w:lang w:val="en-US" w:eastAsia="zh-CN"/>
        </w:rPr>
        <w:t>山地</w:t>
      </w:r>
      <w:r>
        <w:rPr>
          <w:rFonts w:hint="eastAsia"/>
        </w:rPr>
        <w:t>新建、扩建和改建的</w:t>
      </w:r>
      <w:r>
        <w:rPr>
          <w:rFonts w:hint="eastAsia"/>
          <w:lang w:val="en-US" w:eastAsia="zh-CN"/>
        </w:rPr>
        <w:t>并网型</w:t>
      </w:r>
      <w:r>
        <w:rPr>
          <w:rFonts w:hint="eastAsia"/>
        </w:rPr>
        <w:t>光伏发电工程的</w:t>
      </w:r>
      <w:r>
        <w:rPr>
          <w:rFonts w:hint="eastAsia"/>
          <w:lang w:val="en-US" w:eastAsia="zh-CN"/>
        </w:rPr>
        <w:t>施工与验收</w:t>
      </w:r>
      <w:r>
        <w:rPr>
          <w:rFonts w:hint="eastAsia"/>
        </w:rPr>
        <w:t>。</w:t>
      </w:r>
    </w:p>
    <w:p w14:paraId="318AD90A">
      <w:pPr>
        <w:pStyle w:val="20"/>
        <w:bidi w:val="0"/>
        <w:rPr>
          <w:rFonts w:hint="eastAsia"/>
          <w:lang w:eastAsia="zh-CN"/>
        </w:rPr>
      </w:pPr>
      <w:r>
        <w:rPr>
          <w:rFonts w:hint="eastAsia" w:ascii="Times New Roman" w:hAnsi="Times New Roman" w:eastAsia="宋体" w:cs="Times New Roman"/>
          <w:b/>
          <w:bCs/>
        </w:rPr>
        <w:t>1.</w:t>
      </w:r>
      <w:r>
        <w:rPr>
          <w:rFonts w:hint="eastAsia" w:ascii="Times New Roman" w:hAnsi="Times New Roman" w:eastAsia="宋体" w:cs="Times New Roman"/>
          <w:b/>
          <w:bCs/>
          <w:lang w:val="en-US" w:eastAsia="zh-CN"/>
        </w:rPr>
        <w:t xml:space="preserve"> 0. 3  </w:t>
      </w:r>
      <w:r>
        <w:rPr>
          <w:rFonts w:hint="eastAsia"/>
          <w:lang w:val="en-US" w:eastAsia="zh-CN"/>
        </w:rPr>
        <w:t>山地</w:t>
      </w:r>
      <w:r>
        <w:rPr>
          <w:rFonts w:hint="eastAsia"/>
        </w:rPr>
        <w:t>光伏电站施工前应编制施工组织设计文件</w:t>
      </w:r>
      <w:r>
        <w:rPr>
          <w:rFonts w:hint="eastAsia"/>
          <w:lang w:eastAsia="zh-CN"/>
        </w:rPr>
        <w:t>，</w:t>
      </w:r>
      <w:r>
        <w:rPr>
          <w:rFonts w:hint="eastAsia"/>
        </w:rPr>
        <w:t>并制订应急预案</w:t>
      </w:r>
      <w:r>
        <w:rPr>
          <w:rFonts w:hint="eastAsia"/>
          <w:lang w:eastAsia="zh-CN"/>
        </w:rPr>
        <w:t>。</w:t>
      </w:r>
    </w:p>
    <w:p w14:paraId="15474C53">
      <w:pPr>
        <w:pStyle w:val="20"/>
        <w:bidi w:val="0"/>
        <w:rPr>
          <w:rFonts w:hint="eastAsia"/>
        </w:rPr>
      </w:pPr>
      <w:r>
        <w:rPr>
          <w:rFonts w:hint="eastAsia" w:ascii="Times New Roman" w:hAnsi="Times New Roman" w:eastAsia="宋体" w:cs="Times New Roman"/>
          <w:b/>
          <w:bCs/>
        </w:rPr>
        <w:t>1.</w:t>
      </w:r>
      <w:r>
        <w:rPr>
          <w:rFonts w:hint="eastAsia" w:ascii="Times New Roman" w:hAnsi="Times New Roman" w:eastAsia="宋体" w:cs="Times New Roman"/>
          <w:b/>
          <w:bCs/>
          <w:lang w:val="en-US" w:eastAsia="zh-CN"/>
        </w:rPr>
        <w:t xml:space="preserve"> 0. 4  </w:t>
      </w:r>
      <w:r>
        <w:rPr>
          <w:rFonts w:hint="eastAsia"/>
          <w:lang w:val="en-US" w:eastAsia="zh-CN"/>
        </w:rPr>
        <w:t>云南省山地</w:t>
      </w:r>
      <w:r>
        <w:rPr>
          <w:rFonts w:hint="eastAsia"/>
        </w:rPr>
        <w:t>光伏电站建设</w:t>
      </w:r>
      <w:r>
        <w:rPr>
          <w:rFonts w:hint="eastAsia"/>
          <w:lang w:eastAsia="zh-CN"/>
        </w:rPr>
        <w:t>的</w:t>
      </w:r>
      <w:r>
        <w:rPr>
          <w:rFonts w:hint="eastAsia"/>
          <w:lang w:val="en-US" w:eastAsia="zh-CN"/>
        </w:rPr>
        <w:t>施工与验收</w:t>
      </w:r>
      <w:r>
        <w:rPr>
          <w:rFonts w:hint="eastAsia"/>
          <w:lang w:eastAsia="zh-CN"/>
        </w:rPr>
        <w:t>，</w:t>
      </w:r>
      <w:r>
        <w:rPr>
          <w:rFonts w:hint="eastAsia"/>
        </w:rPr>
        <w:t>除</w:t>
      </w:r>
      <w:r>
        <w:rPr>
          <w:rFonts w:hint="eastAsia"/>
          <w:lang w:val="en-US" w:eastAsia="zh-CN"/>
        </w:rPr>
        <w:t>应</w:t>
      </w:r>
      <w:r>
        <w:rPr>
          <w:rFonts w:hint="eastAsia"/>
        </w:rPr>
        <w:t>符合本</w:t>
      </w:r>
      <w:r>
        <w:rPr>
          <w:rFonts w:hint="eastAsia"/>
          <w:lang w:val="en-US" w:eastAsia="zh-CN"/>
        </w:rPr>
        <w:t>规程</w:t>
      </w:r>
      <w:r>
        <w:rPr>
          <w:rFonts w:hint="eastAsia"/>
        </w:rPr>
        <w:t>外，尚应符合国家、行业及</w:t>
      </w:r>
      <w:r>
        <w:rPr>
          <w:rFonts w:hint="eastAsia"/>
          <w:lang w:val="en-US" w:eastAsia="zh-CN"/>
        </w:rPr>
        <w:t>云南省现行</w:t>
      </w:r>
      <w:r>
        <w:rPr>
          <w:rFonts w:hint="eastAsia"/>
        </w:rPr>
        <w:t>有关标准的规定。</w:t>
      </w:r>
    </w:p>
    <w:p w14:paraId="60584E51">
      <w:pPr>
        <w:pageBreakBefore w:val="0"/>
        <w:overflowPunct/>
        <w:topLinePunct w:val="0"/>
        <w:bidi w:val="0"/>
        <w:rPr>
          <w:rFonts w:hint="eastAsia"/>
          <w:sz w:val="30"/>
          <w:szCs w:val="30"/>
        </w:rPr>
      </w:pPr>
    </w:p>
    <w:p w14:paraId="4BB87C64">
      <w:pPr>
        <w:pageBreakBefore w:val="0"/>
        <w:overflowPunct/>
        <w:topLinePunct w:val="0"/>
        <w:bidi w:val="0"/>
        <w:rPr>
          <w:rFonts w:hint="eastAsia"/>
          <w:sz w:val="30"/>
          <w:szCs w:val="30"/>
        </w:rPr>
      </w:pPr>
    </w:p>
    <w:p w14:paraId="5B4676D1">
      <w:pPr>
        <w:pageBreakBefore w:val="0"/>
        <w:overflowPunct/>
        <w:topLinePunct w:val="0"/>
        <w:bidi w:val="0"/>
        <w:rPr>
          <w:rFonts w:hint="eastAsia"/>
          <w:sz w:val="30"/>
          <w:szCs w:val="30"/>
        </w:rPr>
      </w:pPr>
    </w:p>
    <w:p w14:paraId="4464BC0E">
      <w:pPr>
        <w:pageBreakBefore w:val="0"/>
        <w:overflowPunct/>
        <w:topLinePunct w:val="0"/>
        <w:bidi w:val="0"/>
        <w:rPr>
          <w:rFonts w:hint="eastAsia"/>
          <w:sz w:val="30"/>
          <w:szCs w:val="30"/>
        </w:rPr>
      </w:pPr>
    </w:p>
    <w:p w14:paraId="0B4E37E4">
      <w:pPr>
        <w:pageBreakBefore w:val="0"/>
        <w:overflowPunct/>
        <w:topLinePunct w:val="0"/>
        <w:bidi w:val="0"/>
        <w:rPr>
          <w:rFonts w:hint="eastAsia"/>
          <w:sz w:val="30"/>
          <w:szCs w:val="30"/>
        </w:rPr>
      </w:pPr>
    </w:p>
    <w:p w14:paraId="46A60547">
      <w:pPr>
        <w:pageBreakBefore w:val="0"/>
        <w:overflowPunct/>
        <w:topLinePunct w:val="0"/>
        <w:bidi w:val="0"/>
        <w:rPr>
          <w:rFonts w:hint="eastAsia"/>
          <w:sz w:val="30"/>
          <w:szCs w:val="30"/>
        </w:rPr>
      </w:pPr>
    </w:p>
    <w:p w14:paraId="1A5959AE">
      <w:pPr>
        <w:pageBreakBefore w:val="0"/>
        <w:overflowPunct/>
        <w:topLinePunct w:val="0"/>
        <w:bidi w:val="0"/>
        <w:rPr>
          <w:rFonts w:hint="eastAsia"/>
          <w:sz w:val="30"/>
          <w:szCs w:val="30"/>
        </w:rPr>
      </w:pPr>
    </w:p>
    <w:p w14:paraId="12F13F1A">
      <w:pPr>
        <w:pageBreakBefore w:val="0"/>
        <w:overflowPunct/>
        <w:topLinePunct w:val="0"/>
        <w:bidi w:val="0"/>
        <w:rPr>
          <w:rFonts w:hint="eastAsia"/>
          <w:sz w:val="30"/>
          <w:szCs w:val="30"/>
        </w:rPr>
      </w:pPr>
    </w:p>
    <w:p w14:paraId="50EF799D">
      <w:pPr>
        <w:pageBreakBefore w:val="0"/>
        <w:overflowPunct/>
        <w:topLinePunct w:val="0"/>
        <w:bidi w:val="0"/>
        <w:rPr>
          <w:rFonts w:hint="eastAsia"/>
          <w:sz w:val="30"/>
          <w:szCs w:val="30"/>
        </w:rPr>
      </w:pPr>
    </w:p>
    <w:p w14:paraId="12CF05C6">
      <w:pPr>
        <w:pageBreakBefore w:val="0"/>
        <w:overflowPunct/>
        <w:topLinePunct w:val="0"/>
        <w:bidi w:val="0"/>
        <w:rPr>
          <w:rFonts w:hint="eastAsia"/>
          <w:sz w:val="30"/>
          <w:szCs w:val="30"/>
        </w:rPr>
      </w:pPr>
    </w:p>
    <w:p w14:paraId="3EB080B1">
      <w:pPr>
        <w:pageBreakBefore w:val="0"/>
        <w:overflowPunct/>
        <w:topLinePunct w:val="0"/>
        <w:bidi w:val="0"/>
        <w:rPr>
          <w:rFonts w:hint="eastAsia"/>
          <w:sz w:val="30"/>
          <w:szCs w:val="30"/>
        </w:rPr>
      </w:pPr>
    </w:p>
    <w:p w14:paraId="14BB4F34">
      <w:pPr>
        <w:pageBreakBefore w:val="0"/>
        <w:overflowPunct/>
        <w:topLinePunct w:val="0"/>
        <w:bidi w:val="0"/>
        <w:rPr>
          <w:rFonts w:hint="eastAsia"/>
          <w:sz w:val="30"/>
          <w:szCs w:val="30"/>
        </w:rPr>
      </w:pPr>
    </w:p>
    <w:p w14:paraId="429B6696">
      <w:pPr>
        <w:pageBreakBefore w:val="0"/>
        <w:overflowPunct/>
        <w:topLinePunct w:val="0"/>
        <w:bidi w:val="0"/>
        <w:rPr>
          <w:rFonts w:hint="eastAsia"/>
          <w:sz w:val="30"/>
          <w:szCs w:val="30"/>
        </w:rPr>
      </w:pPr>
    </w:p>
    <w:p w14:paraId="20CEF9E7">
      <w:pPr>
        <w:pStyle w:val="4"/>
        <w:pageBreakBefore w:val="0"/>
        <w:overflowPunct/>
        <w:topLinePunct w:val="0"/>
        <w:bidi w:val="0"/>
        <w:rPr>
          <w:rFonts w:hint="eastAsia"/>
          <w:highlight w:val="none"/>
          <w:lang w:val="en-US" w:eastAsia="zh-CN"/>
        </w:rPr>
      </w:pPr>
    </w:p>
    <w:p w14:paraId="4F388F70">
      <w:pPr>
        <w:pStyle w:val="26"/>
        <w:bidi w:val="0"/>
        <w:outlineLvl w:val="0"/>
        <w:rPr>
          <w:rFonts w:hint="eastAsia"/>
          <w:lang w:val="en-US" w:eastAsia="zh-CN"/>
        </w:rPr>
      </w:pPr>
      <w:bookmarkStart w:id="4" w:name="bookmark144"/>
      <w:bookmarkEnd w:id="4"/>
      <w:bookmarkStart w:id="5" w:name="_Toc30547"/>
      <w:bookmarkStart w:id="6" w:name="_Toc16188"/>
      <w:bookmarkStart w:id="7" w:name="_Toc14817"/>
      <w:bookmarkStart w:id="8" w:name="_Toc10229"/>
      <w:bookmarkStart w:id="9" w:name="_Toc20422"/>
      <w:r>
        <w:rPr>
          <w:rFonts w:hint="eastAsia"/>
          <w:b/>
          <w:bCs/>
          <w:lang w:val="en-US" w:eastAsia="zh-CN"/>
        </w:rPr>
        <w:t>2</w:t>
      </w:r>
      <w:r>
        <w:rPr>
          <w:rFonts w:hint="eastAsia"/>
          <w:lang w:val="en-US" w:eastAsia="zh-CN"/>
        </w:rPr>
        <w:t xml:space="preserve">  术</w:t>
      </w:r>
      <w:r>
        <w:rPr>
          <w:rFonts w:hint="eastAsia"/>
          <w:lang w:eastAsia="zh-CN"/>
        </w:rPr>
        <w:t>　　</w:t>
      </w:r>
      <w:r>
        <w:rPr>
          <w:rFonts w:hint="eastAsia"/>
          <w:lang w:val="en-US" w:eastAsia="zh-CN"/>
        </w:rPr>
        <w:t>语</w:t>
      </w:r>
      <w:bookmarkEnd w:id="5"/>
      <w:bookmarkEnd w:id="6"/>
      <w:bookmarkEnd w:id="7"/>
      <w:bookmarkEnd w:id="8"/>
      <w:bookmarkEnd w:id="9"/>
    </w:p>
    <w:p w14:paraId="3485DB37">
      <w:pPr>
        <w:pStyle w:val="20"/>
        <w:bidi w:val="0"/>
        <w:rPr>
          <w:lang w:eastAsia="zh-CN"/>
        </w:rPr>
      </w:pPr>
      <w:bookmarkStart w:id="10" w:name="_Toc20315"/>
      <w:r>
        <w:rPr>
          <w:rFonts w:hint="eastAsia"/>
          <w:b/>
          <w:bCs/>
          <w:lang w:val="en-US" w:eastAsia="zh-CN"/>
        </w:rPr>
        <w:t xml:space="preserve">2. 0. 1  </w:t>
      </w:r>
      <w:r>
        <w:rPr>
          <w:rFonts w:hint="eastAsia"/>
          <w:lang w:eastAsia="zh-CN"/>
        </w:rPr>
        <w:t>山地光伏电站</w:t>
      </w:r>
      <w:r>
        <w:rPr>
          <w:rFonts w:hint="eastAsia"/>
        </w:rPr>
        <w:t>　　</w:t>
      </w:r>
      <w:r>
        <w:rPr>
          <w:rFonts w:hint="eastAsia"/>
          <w:lang w:eastAsia="zh-CN"/>
        </w:rPr>
        <w:t>m</w:t>
      </w:r>
      <w:r>
        <w:t>ountainous</w:t>
      </w:r>
      <w:r>
        <w:rPr>
          <w:rFonts w:hint="eastAsia"/>
          <w:lang w:eastAsia="zh-CN"/>
        </w:rPr>
        <w:t xml:space="preserve"> PV</w:t>
      </w:r>
      <w:r>
        <w:rPr>
          <w:lang w:eastAsia="zh-CN"/>
        </w:rPr>
        <w:t xml:space="preserve"> power station</w:t>
      </w:r>
      <w:bookmarkEnd w:id="10"/>
    </w:p>
    <w:p w14:paraId="03508FA4">
      <w:pPr>
        <w:pStyle w:val="20"/>
        <w:bidi w:val="0"/>
        <w:ind w:firstLine="560" w:firstLineChars="200"/>
        <w:rPr>
          <w:rFonts w:hint="default"/>
          <w:lang w:val="en-US" w:eastAsia="zh-CN"/>
        </w:rPr>
      </w:pPr>
      <w:r>
        <w:rPr>
          <w:rFonts w:hint="eastAsia"/>
          <w:lang w:val="en-US" w:eastAsia="zh-CN"/>
        </w:rPr>
        <w:t>在地形起伏、地面自然坡度大于3°的丘陵或山岭地区建设的光伏电站。</w:t>
      </w:r>
    </w:p>
    <w:p w14:paraId="3D725FC7">
      <w:pPr>
        <w:pStyle w:val="20"/>
        <w:bidi w:val="0"/>
        <w:rPr>
          <w:rFonts w:hint="eastAsia"/>
          <w:lang w:val="en-US" w:eastAsia="zh-CN"/>
        </w:rPr>
      </w:pPr>
      <w:r>
        <w:rPr>
          <w:rFonts w:hint="eastAsia" w:ascii="Times New Roman" w:hAnsi="Times New Roman" w:eastAsia="宋体" w:cs="Times New Roman"/>
          <w:b/>
          <w:bCs/>
          <w:lang w:val="en-US" w:eastAsia="zh-CN"/>
        </w:rPr>
        <w:t>2. 0. 2</w:t>
      </w:r>
      <w:r>
        <w:rPr>
          <w:rFonts w:hint="eastAsia"/>
          <w:b/>
          <w:bCs/>
          <w:lang w:val="en-US" w:eastAsia="zh-CN"/>
        </w:rPr>
        <w:t xml:space="preserve">  </w:t>
      </w:r>
      <w:r>
        <w:rPr>
          <w:rFonts w:hint="eastAsia"/>
          <w:lang w:val="en-US" w:eastAsia="zh-CN"/>
        </w:rPr>
        <w:t>光伏组件</w:t>
      </w:r>
      <w:r>
        <w:rPr>
          <w:rFonts w:hint="eastAsia"/>
        </w:rPr>
        <w:t>　　</w:t>
      </w:r>
      <w:r>
        <w:rPr>
          <w:rFonts w:hint="eastAsia"/>
          <w:lang w:val="en-US" w:eastAsia="zh-CN"/>
        </w:rPr>
        <w:t>PV module</w:t>
      </w:r>
    </w:p>
    <w:p w14:paraId="0467BDFA">
      <w:pPr>
        <w:pStyle w:val="20"/>
        <w:bidi w:val="0"/>
        <w:ind w:firstLine="560" w:firstLineChars="200"/>
        <w:rPr>
          <w:rFonts w:hint="eastAsia"/>
          <w:lang w:val="en-US" w:eastAsia="zh-CN"/>
        </w:rPr>
      </w:pPr>
      <w:r>
        <w:rPr>
          <w:rFonts w:hint="eastAsia"/>
          <w:lang w:val="en-US" w:eastAsia="zh-CN"/>
        </w:rPr>
        <w:t>具有封装及内部联结的、能单独提供直流电输出的、最小不可分割的太阳电池组合装置。又称太阳电池组件（solarcell module）。</w:t>
      </w:r>
    </w:p>
    <w:p w14:paraId="7CB3AA22">
      <w:pPr>
        <w:pStyle w:val="20"/>
        <w:bidi w:val="0"/>
        <w:rPr>
          <w:rFonts w:hint="eastAsia"/>
          <w:lang w:val="en-US" w:eastAsia="zh-CN"/>
        </w:rPr>
      </w:pPr>
      <w:r>
        <w:rPr>
          <w:rFonts w:hint="eastAsia" w:ascii="Times New Roman" w:hAnsi="Times New Roman" w:eastAsia="宋体" w:cs="Times New Roman"/>
          <w:b/>
          <w:bCs/>
          <w:lang w:val="en-US" w:eastAsia="zh-CN"/>
        </w:rPr>
        <w:t>2. 0. 3</w:t>
      </w:r>
      <w:r>
        <w:rPr>
          <w:rFonts w:hint="eastAsia"/>
          <w:b/>
          <w:bCs/>
          <w:lang w:val="en-US" w:eastAsia="zh-CN"/>
        </w:rPr>
        <w:t xml:space="preserve">  </w:t>
      </w:r>
      <w:r>
        <w:rPr>
          <w:rFonts w:hint="eastAsia"/>
          <w:lang w:val="en-US" w:eastAsia="zh-CN"/>
        </w:rPr>
        <w:t>光伏组件串</w:t>
      </w:r>
      <w:r>
        <w:rPr>
          <w:rFonts w:hint="eastAsia"/>
        </w:rPr>
        <w:t>　　</w:t>
      </w:r>
      <w:r>
        <w:rPr>
          <w:rFonts w:hint="eastAsia"/>
          <w:lang w:val="en-US" w:eastAsia="zh-CN"/>
        </w:rPr>
        <w:t>photovoltaic modules string</w:t>
      </w:r>
    </w:p>
    <w:p w14:paraId="3D2F002F">
      <w:pPr>
        <w:pStyle w:val="20"/>
        <w:bidi w:val="0"/>
        <w:ind w:firstLine="560" w:firstLineChars="200"/>
        <w:rPr>
          <w:rFonts w:hint="eastAsia"/>
          <w:lang w:val="en-US" w:eastAsia="zh-CN"/>
        </w:rPr>
      </w:pPr>
      <w:r>
        <w:rPr>
          <w:rFonts w:hint="eastAsia"/>
          <w:lang w:val="en-US" w:eastAsia="zh-CN"/>
        </w:rPr>
        <w:t>在光伏发电系统中，将若干个光伏组件串联后，形成具有一定直流电输出的电路单元。</w:t>
      </w:r>
    </w:p>
    <w:p w14:paraId="1BB0CB82">
      <w:pPr>
        <w:pStyle w:val="20"/>
        <w:bidi w:val="0"/>
        <w:rPr>
          <w:rFonts w:hint="eastAsia"/>
          <w:lang w:val="en-US" w:eastAsia="zh-CN"/>
        </w:rPr>
      </w:pPr>
      <w:r>
        <w:rPr>
          <w:rFonts w:hint="eastAsia" w:ascii="Times New Roman" w:hAnsi="Times New Roman" w:eastAsia="宋体" w:cs="Times New Roman"/>
          <w:b/>
          <w:bCs/>
          <w:lang w:val="en-US" w:eastAsia="zh-CN"/>
        </w:rPr>
        <w:t>2. 0. 4</w:t>
      </w:r>
      <w:r>
        <w:rPr>
          <w:rFonts w:hint="eastAsia"/>
          <w:b/>
          <w:bCs/>
          <w:lang w:val="en-US" w:eastAsia="zh-CN"/>
        </w:rPr>
        <w:t xml:space="preserve">  </w:t>
      </w:r>
      <w:r>
        <w:rPr>
          <w:rFonts w:hint="eastAsia"/>
          <w:lang w:val="en-US" w:eastAsia="zh-CN"/>
        </w:rPr>
        <w:t>光伏方阵</w:t>
      </w:r>
      <w:r>
        <w:rPr>
          <w:rFonts w:hint="eastAsia"/>
        </w:rPr>
        <w:t>　　</w:t>
      </w:r>
      <w:r>
        <w:rPr>
          <w:rFonts w:hint="eastAsia"/>
          <w:lang w:val="en-US" w:eastAsia="zh-CN"/>
        </w:rPr>
        <w:t>PV array</w:t>
      </w:r>
    </w:p>
    <w:p w14:paraId="30B61636">
      <w:pPr>
        <w:pStyle w:val="20"/>
        <w:bidi w:val="0"/>
        <w:ind w:firstLine="560" w:firstLineChars="200"/>
        <w:rPr>
          <w:rFonts w:hint="eastAsia"/>
          <w:lang w:val="en-US" w:eastAsia="zh-CN"/>
        </w:rPr>
      </w:pPr>
      <w:r>
        <w:rPr>
          <w:rFonts w:hint="eastAsia"/>
          <w:lang w:val="en-US" w:eastAsia="zh-CN"/>
        </w:rPr>
        <w:t>将若干个光伏组件在机械和电气上按一定方式组装在一起并且有固定的支撑结构而构成的直流发电单元。又称光伏阵列。</w:t>
      </w:r>
    </w:p>
    <w:p w14:paraId="59A5A07A">
      <w:pPr>
        <w:pStyle w:val="20"/>
        <w:bidi w:val="0"/>
        <w:rPr>
          <w:rFonts w:hint="eastAsia"/>
          <w:lang w:val="en-US" w:eastAsia="zh-CN"/>
        </w:rPr>
      </w:pPr>
      <w:r>
        <w:rPr>
          <w:rFonts w:hint="eastAsia" w:ascii="Times New Roman" w:hAnsi="Times New Roman" w:eastAsia="宋体" w:cs="Times New Roman"/>
          <w:b/>
          <w:bCs/>
          <w:lang w:val="en-US" w:eastAsia="zh-CN"/>
        </w:rPr>
        <w:t>2. 0. 5</w:t>
      </w:r>
      <w:r>
        <w:rPr>
          <w:rFonts w:hint="eastAsia"/>
          <w:b/>
          <w:bCs/>
          <w:lang w:val="en-US" w:eastAsia="zh-CN"/>
        </w:rPr>
        <w:t xml:space="preserve">  </w:t>
      </w:r>
      <w:r>
        <w:rPr>
          <w:rFonts w:hint="eastAsia"/>
          <w:lang w:val="en-US" w:eastAsia="zh-CN"/>
        </w:rPr>
        <w:t>光伏发电系统</w:t>
      </w:r>
      <w:r>
        <w:rPr>
          <w:rFonts w:hint="eastAsia"/>
        </w:rPr>
        <w:t>　　</w:t>
      </w:r>
      <w:r>
        <w:rPr>
          <w:rFonts w:hint="eastAsia"/>
          <w:lang w:val="en-US" w:eastAsia="zh-CN"/>
        </w:rPr>
        <w:t>photovoltaic（PV）power enerationsystem</w:t>
      </w:r>
    </w:p>
    <w:p w14:paraId="04616720">
      <w:pPr>
        <w:pStyle w:val="20"/>
        <w:bidi w:val="0"/>
        <w:ind w:firstLine="560" w:firstLineChars="200"/>
        <w:rPr>
          <w:rFonts w:hint="eastAsia"/>
          <w:lang w:val="en-US" w:eastAsia="zh-CN"/>
        </w:rPr>
      </w:pPr>
      <w:r>
        <w:rPr>
          <w:rFonts w:hint="eastAsia"/>
          <w:lang w:val="en-US" w:eastAsia="zh-CN"/>
        </w:rPr>
        <w:t>利用太阳电池的光生伏特效应，将太阳辐射能直接转换成电能的发电系统。</w:t>
      </w:r>
    </w:p>
    <w:p w14:paraId="6390940E">
      <w:pPr>
        <w:pStyle w:val="20"/>
        <w:bidi w:val="0"/>
        <w:rPr>
          <w:rFonts w:hint="eastAsia"/>
          <w:lang w:val="en-US" w:eastAsia="zh-CN"/>
        </w:rPr>
      </w:pPr>
      <w:r>
        <w:rPr>
          <w:rFonts w:hint="eastAsia" w:ascii="Times New Roman" w:hAnsi="Times New Roman" w:eastAsia="宋体" w:cs="Times New Roman"/>
          <w:b/>
          <w:bCs/>
          <w:lang w:val="en-US" w:eastAsia="zh-CN"/>
        </w:rPr>
        <w:t>2. 0. 6</w:t>
      </w:r>
      <w:r>
        <w:rPr>
          <w:rFonts w:hint="eastAsia"/>
          <w:b/>
          <w:bCs/>
          <w:lang w:val="en-US" w:eastAsia="zh-CN"/>
        </w:rPr>
        <w:t xml:space="preserve">  </w:t>
      </w:r>
      <w:r>
        <w:rPr>
          <w:rFonts w:hint="eastAsia"/>
          <w:lang w:val="en-US" w:eastAsia="zh-CN"/>
        </w:rPr>
        <w:t>桩基础</w:t>
      </w:r>
      <w:r>
        <w:rPr>
          <w:rFonts w:hint="eastAsia"/>
        </w:rPr>
        <w:t>　　</w:t>
      </w:r>
      <w:r>
        <w:rPr>
          <w:rFonts w:hint="eastAsia"/>
          <w:lang w:val="en-US" w:eastAsia="zh-CN"/>
        </w:rPr>
        <w:t>pile foundation</w:t>
      </w:r>
    </w:p>
    <w:p w14:paraId="34EFBF5A">
      <w:pPr>
        <w:pStyle w:val="20"/>
        <w:bidi w:val="0"/>
        <w:ind w:firstLine="560" w:firstLineChars="200"/>
        <w:rPr>
          <w:rFonts w:hint="eastAsia"/>
          <w:lang w:val="en-US" w:eastAsia="zh-CN"/>
        </w:rPr>
      </w:pPr>
      <w:r>
        <w:rPr>
          <w:rFonts w:hint="eastAsia"/>
          <w:lang w:val="en-US" w:eastAsia="zh-CN"/>
        </w:rPr>
        <w:t>设置于岩土中的与支架立柱直接连接以及成一体的桩基础或桩与连接于桩顶的承台共同组成的基础。</w:t>
      </w:r>
    </w:p>
    <w:p w14:paraId="08406BA5">
      <w:pPr>
        <w:pStyle w:val="20"/>
        <w:bidi w:val="0"/>
        <w:rPr>
          <w:rFonts w:hint="eastAsia"/>
          <w:lang w:val="en-US" w:eastAsia="zh-CN"/>
        </w:rPr>
      </w:pPr>
      <w:r>
        <w:rPr>
          <w:rFonts w:hint="eastAsia" w:ascii="Times New Roman" w:hAnsi="Times New Roman" w:eastAsia="宋体" w:cs="Times New Roman"/>
          <w:b/>
          <w:bCs/>
          <w:lang w:val="en-US" w:eastAsia="zh-CN"/>
        </w:rPr>
        <w:t>2. 0. 7</w:t>
      </w:r>
      <w:r>
        <w:rPr>
          <w:rFonts w:hint="eastAsia"/>
          <w:b/>
          <w:bCs/>
          <w:lang w:val="en-US" w:eastAsia="zh-CN"/>
        </w:rPr>
        <w:t xml:space="preserve">  </w:t>
      </w:r>
      <w:r>
        <w:rPr>
          <w:rFonts w:hint="eastAsia"/>
          <w:lang w:val="en-US" w:eastAsia="zh-CN"/>
        </w:rPr>
        <w:t>锚杆基础</w:t>
      </w:r>
      <w:r>
        <w:rPr>
          <w:rFonts w:hint="eastAsia"/>
        </w:rPr>
        <w:t>　　</w:t>
      </w:r>
      <w:r>
        <w:rPr>
          <w:rFonts w:hint="eastAsia" w:ascii="Times New Roman" w:hAnsi="Times New Roman" w:eastAsia="宋体" w:cs="Times New Roman"/>
          <w:lang w:val="en-US" w:eastAsia="zh-CN"/>
        </w:rPr>
        <w:t>anchor bolt foundation</w:t>
      </w:r>
    </w:p>
    <w:p w14:paraId="0CB49549">
      <w:pPr>
        <w:pStyle w:val="20"/>
        <w:bidi w:val="0"/>
        <w:ind w:firstLine="560" w:firstLineChars="200"/>
        <w:rPr>
          <w:rFonts w:hint="default"/>
          <w:lang w:val="en-US" w:eastAsia="zh-CN"/>
        </w:rPr>
      </w:pPr>
      <w:r>
        <w:rPr>
          <w:rFonts w:hint="eastAsia"/>
          <w:lang w:val="en-US" w:eastAsia="zh-CN"/>
        </w:rPr>
        <w:t>由设置于岩土中的锚杆和与锚杆相连的混凝土承台或型钢承压板共同组成的基础。</w:t>
      </w:r>
    </w:p>
    <w:p w14:paraId="77E6278E">
      <w:pPr>
        <w:pStyle w:val="20"/>
        <w:bidi w:val="0"/>
        <w:rPr>
          <w:rFonts w:hint="eastAsia"/>
          <w:lang w:val="en-US" w:eastAsia="zh-CN"/>
        </w:rPr>
      </w:pPr>
      <w:r>
        <w:rPr>
          <w:rFonts w:hint="eastAsia" w:ascii="Times New Roman" w:hAnsi="Times New Roman" w:eastAsia="宋体" w:cs="Times New Roman"/>
          <w:b/>
          <w:bCs/>
          <w:lang w:val="en-US" w:eastAsia="zh-CN"/>
        </w:rPr>
        <w:t>2. 0. 8</w:t>
      </w:r>
      <w:r>
        <w:rPr>
          <w:rFonts w:hint="eastAsia"/>
          <w:b/>
          <w:bCs/>
          <w:lang w:val="en-US" w:eastAsia="zh-CN"/>
        </w:rPr>
        <w:t xml:space="preserve">  </w:t>
      </w:r>
      <w:r>
        <w:rPr>
          <w:rFonts w:hint="eastAsia"/>
          <w:lang w:val="en-US" w:eastAsia="zh-CN"/>
        </w:rPr>
        <w:t>接地网</w:t>
      </w:r>
      <w:r>
        <w:rPr>
          <w:rFonts w:hint="eastAsia"/>
        </w:rPr>
        <w:t>　　</w:t>
      </w:r>
      <w:r>
        <w:rPr>
          <w:rFonts w:hint="eastAsia"/>
          <w:lang w:val="en-US" w:eastAsia="zh-CN"/>
        </w:rPr>
        <w:t>grounding grid</w:t>
      </w:r>
    </w:p>
    <w:p w14:paraId="6AEF0B7E">
      <w:pPr>
        <w:pStyle w:val="20"/>
        <w:bidi w:val="0"/>
        <w:ind w:firstLine="560" w:firstLineChars="200"/>
        <w:rPr>
          <w:rFonts w:hint="default"/>
          <w:lang w:val="en-US" w:eastAsia="zh-CN"/>
        </w:rPr>
      </w:pPr>
      <w:r>
        <w:rPr>
          <w:rFonts w:hint="eastAsia"/>
          <w:lang w:val="en-US" w:eastAsia="zh-CN"/>
        </w:rPr>
        <w:t>由垂直和水平接地极组成的具有泄流和均压作用的网状接地装置。</w:t>
      </w:r>
    </w:p>
    <w:p w14:paraId="0F1A6507">
      <w:pPr>
        <w:pStyle w:val="26"/>
        <w:bidi w:val="0"/>
        <w:outlineLvl w:val="0"/>
        <w:rPr>
          <w:rFonts w:hint="default"/>
          <w:lang w:val="en-US" w:eastAsia="zh-CN"/>
        </w:rPr>
      </w:pPr>
      <w:bookmarkStart w:id="11" w:name="_Toc28566"/>
      <w:bookmarkStart w:id="12" w:name="_Toc13829"/>
      <w:bookmarkStart w:id="13" w:name="_Toc15363"/>
      <w:r>
        <w:rPr>
          <w:rFonts w:hint="eastAsia"/>
          <w:b/>
          <w:bCs/>
          <w:lang w:val="en-US" w:eastAsia="zh-CN"/>
        </w:rPr>
        <w:t>3</w:t>
      </w:r>
      <w:r>
        <w:rPr>
          <w:rFonts w:hint="eastAsia"/>
          <w:lang w:val="en-US" w:eastAsia="zh-CN"/>
        </w:rPr>
        <w:t xml:space="preserve">  基本规定</w:t>
      </w:r>
      <w:bookmarkEnd w:id="11"/>
      <w:bookmarkEnd w:id="12"/>
      <w:bookmarkEnd w:id="13"/>
    </w:p>
    <w:p w14:paraId="66948155">
      <w:pPr>
        <w:pStyle w:val="20"/>
        <w:bidi w:val="0"/>
        <w:rPr>
          <w:rFonts w:hint="default"/>
          <w:lang w:val="en-US" w:eastAsia="zh-CN"/>
        </w:rPr>
      </w:pPr>
      <w:r>
        <w:rPr>
          <w:rFonts w:hint="eastAsia"/>
          <w:b/>
          <w:bCs/>
          <w:lang w:val="en-US" w:eastAsia="zh-CN"/>
        </w:rPr>
        <w:t xml:space="preserve">3. 0. 1  </w:t>
      </w:r>
      <w:r>
        <w:rPr>
          <w:rFonts w:hint="eastAsia"/>
          <w:lang w:val="en-US" w:eastAsia="zh-CN"/>
        </w:rPr>
        <w:t>山地光伏电站的建设应符合节约用地的原则，符合有关主管部门批准的山地光伏发电工程发展规划。</w:t>
      </w:r>
    </w:p>
    <w:p w14:paraId="799A1CE5">
      <w:pPr>
        <w:pStyle w:val="20"/>
        <w:bidi w:val="0"/>
        <w:rPr>
          <w:rFonts w:hint="eastAsia"/>
          <w:lang w:val="en-US" w:eastAsia="zh-CN"/>
        </w:rPr>
      </w:pPr>
      <w:r>
        <w:rPr>
          <w:rFonts w:hint="eastAsia"/>
          <w:b/>
          <w:bCs/>
          <w:lang w:val="en-US" w:eastAsia="zh-CN"/>
        </w:rPr>
        <w:t xml:space="preserve">3. 0. 2  </w:t>
      </w:r>
      <w:r>
        <w:rPr>
          <w:rFonts w:hint="eastAsia"/>
          <w:lang w:val="en-US" w:eastAsia="zh-CN"/>
        </w:rPr>
        <w:t>山地光伏电站施工前应取得相关部门行政许可并办理各项审批手续。</w:t>
      </w:r>
    </w:p>
    <w:p w14:paraId="2A14D09E">
      <w:pPr>
        <w:pStyle w:val="20"/>
        <w:bidi w:val="0"/>
        <w:rPr>
          <w:rFonts w:hint="default"/>
          <w:lang w:val="en-US" w:eastAsia="zh-CN"/>
        </w:rPr>
      </w:pPr>
      <w:r>
        <w:rPr>
          <w:rFonts w:hint="eastAsia"/>
          <w:b/>
          <w:bCs/>
          <w:lang w:val="en-US" w:eastAsia="zh-CN"/>
        </w:rPr>
        <w:t xml:space="preserve">3. 0. 3  </w:t>
      </w:r>
      <w:r>
        <w:rPr>
          <w:rFonts w:hint="eastAsia"/>
          <w:lang w:val="en-US" w:eastAsia="zh-CN"/>
        </w:rPr>
        <w:t>对于桩基础、锚杆基础宜选择有代表性的区域进行现场试验，确定施工工艺的可靠性并验证设计参数。</w:t>
      </w:r>
    </w:p>
    <w:p w14:paraId="3C9C0D2C">
      <w:pPr>
        <w:pStyle w:val="20"/>
        <w:bidi w:val="0"/>
        <w:rPr>
          <w:rFonts w:hint="eastAsia"/>
          <w:lang w:val="en-US" w:eastAsia="zh-CN"/>
        </w:rPr>
      </w:pPr>
      <w:r>
        <w:rPr>
          <w:rFonts w:hint="eastAsia"/>
          <w:b/>
          <w:bCs/>
          <w:lang w:val="en-US" w:eastAsia="zh-CN"/>
        </w:rPr>
        <w:t xml:space="preserve">3. 0. 4  </w:t>
      </w:r>
      <w:r>
        <w:rPr>
          <w:rFonts w:hint="eastAsia"/>
          <w:lang w:val="en-US" w:eastAsia="zh-CN"/>
        </w:rPr>
        <w:t>开工前应完成图纸会审，设计交底，施工组织设计及重大施工方案的审批，项目划分及质量评定标准应确定。。</w:t>
      </w:r>
    </w:p>
    <w:p w14:paraId="61CA5675">
      <w:pPr>
        <w:pStyle w:val="6"/>
        <w:rPr>
          <w:rFonts w:hint="eastAsia"/>
          <w:color w:val="auto"/>
          <w:sz w:val="28"/>
          <w:szCs w:val="28"/>
          <w:lang w:val="en-US" w:eastAsia="zh-CN"/>
        </w:rPr>
      </w:pPr>
    </w:p>
    <w:p w14:paraId="45B4E7FF">
      <w:pPr>
        <w:pStyle w:val="6"/>
        <w:rPr>
          <w:rFonts w:hint="eastAsia"/>
          <w:color w:val="auto"/>
          <w:sz w:val="28"/>
          <w:szCs w:val="28"/>
          <w:lang w:val="en-US" w:eastAsia="zh-CN"/>
        </w:rPr>
      </w:pPr>
    </w:p>
    <w:p w14:paraId="7F4459B0">
      <w:pPr>
        <w:pStyle w:val="6"/>
        <w:rPr>
          <w:rFonts w:hint="eastAsia"/>
          <w:color w:val="auto"/>
          <w:sz w:val="28"/>
          <w:szCs w:val="28"/>
          <w:lang w:val="en-US" w:eastAsia="zh-CN"/>
        </w:rPr>
      </w:pPr>
    </w:p>
    <w:p w14:paraId="27933481">
      <w:pPr>
        <w:pStyle w:val="6"/>
        <w:rPr>
          <w:rFonts w:hint="eastAsia"/>
          <w:color w:val="auto"/>
          <w:sz w:val="28"/>
          <w:szCs w:val="28"/>
          <w:lang w:val="en-US" w:eastAsia="zh-CN"/>
        </w:rPr>
      </w:pPr>
    </w:p>
    <w:p w14:paraId="59C63B42">
      <w:pPr>
        <w:pStyle w:val="6"/>
        <w:rPr>
          <w:rFonts w:hint="eastAsia"/>
          <w:color w:val="auto"/>
          <w:sz w:val="28"/>
          <w:szCs w:val="28"/>
          <w:lang w:val="en-US" w:eastAsia="zh-CN"/>
        </w:rPr>
      </w:pPr>
    </w:p>
    <w:p w14:paraId="7FA58E7B">
      <w:pPr>
        <w:pStyle w:val="6"/>
        <w:rPr>
          <w:rFonts w:hint="eastAsia"/>
          <w:color w:val="auto"/>
          <w:sz w:val="28"/>
          <w:szCs w:val="28"/>
          <w:lang w:val="en-US" w:eastAsia="zh-CN"/>
        </w:rPr>
      </w:pPr>
    </w:p>
    <w:p w14:paraId="44B0B8D9">
      <w:pPr>
        <w:pStyle w:val="6"/>
        <w:rPr>
          <w:rFonts w:hint="eastAsia"/>
          <w:color w:val="auto"/>
          <w:sz w:val="28"/>
          <w:szCs w:val="28"/>
          <w:lang w:val="en-US" w:eastAsia="zh-CN"/>
        </w:rPr>
      </w:pPr>
    </w:p>
    <w:p w14:paraId="03F52D43">
      <w:pPr>
        <w:pStyle w:val="6"/>
        <w:rPr>
          <w:rFonts w:hint="eastAsia"/>
          <w:color w:val="auto"/>
          <w:sz w:val="28"/>
          <w:szCs w:val="28"/>
          <w:lang w:val="en-US" w:eastAsia="zh-CN"/>
        </w:rPr>
      </w:pPr>
    </w:p>
    <w:p w14:paraId="03F0A8D8">
      <w:pPr>
        <w:pStyle w:val="6"/>
        <w:rPr>
          <w:rFonts w:hint="eastAsia"/>
          <w:color w:val="auto"/>
          <w:sz w:val="28"/>
          <w:szCs w:val="28"/>
          <w:lang w:val="en-US" w:eastAsia="zh-CN"/>
        </w:rPr>
      </w:pPr>
    </w:p>
    <w:p w14:paraId="44812EF5">
      <w:pPr>
        <w:pStyle w:val="6"/>
        <w:rPr>
          <w:rFonts w:hint="eastAsia"/>
          <w:color w:val="auto"/>
          <w:sz w:val="28"/>
          <w:szCs w:val="28"/>
          <w:lang w:val="en-US" w:eastAsia="zh-CN"/>
        </w:rPr>
      </w:pPr>
    </w:p>
    <w:p w14:paraId="09B24A9B">
      <w:pPr>
        <w:pStyle w:val="6"/>
        <w:rPr>
          <w:rFonts w:hint="eastAsia"/>
          <w:color w:val="auto"/>
          <w:sz w:val="28"/>
          <w:szCs w:val="28"/>
          <w:lang w:val="en-US" w:eastAsia="zh-CN"/>
        </w:rPr>
      </w:pPr>
    </w:p>
    <w:p w14:paraId="1CB6996D">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pPr>
      <w:bookmarkStart w:id="14" w:name="_Toc23666"/>
      <w:bookmarkStart w:id="15" w:name="_Toc17883"/>
      <w:bookmarkStart w:id="16" w:name="_Toc3286"/>
      <w:r>
        <w:rPr>
          <w:rFonts w:hint="eastAsia"/>
          <w:lang w:val="en-US" w:eastAsia="zh-CN"/>
        </w:rPr>
        <w:t xml:space="preserve">4  </w:t>
      </w:r>
      <w:r>
        <w:rPr>
          <w:rFonts w:hint="eastAsia"/>
        </w:rPr>
        <w:t>土建工程</w:t>
      </w:r>
      <w:bookmarkEnd w:id="14"/>
      <w:bookmarkEnd w:id="15"/>
      <w:bookmarkEnd w:id="16"/>
    </w:p>
    <w:p w14:paraId="69EE1CA0">
      <w:pPr>
        <w:pStyle w:val="27"/>
        <w:bidi w:val="0"/>
        <w:outlineLvl w:val="1"/>
        <w:rPr>
          <w:rFonts w:hint="eastAsia"/>
        </w:rPr>
      </w:pPr>
      <w:bookmarkStart w:id="17" w:name="_Toc13145"/>
      <w:bookmarkStart w:id="18" w:name="_Toc1537"/>
      <w:bookmarkStart w:id="19" w:name="_Toc17059"/>
      <w:r>
        <w:rPr>
          <w:rFonts w:hint="eastAsia"/>
          <w:b/>
          <w:bCs/>
          <w:lang w:val="en-US" w:eastAsia="zh-CN"/>
        </w:rPr>
        <w:t>4. 1</w:t>
      </w:r>
      <w:r>
        <w:rPr>
          <w:rFonts w:hint="eastAsia"/>
          <w:lang w:val="en-US" w:eastAsia="zh-CN"/>
        </w:rPr>
        <w:t xml:space="preserve">  </w:t>
      </w:r>
      <w:r>
        <w:rPr>
          <w:rFonts w:hint="eastAsia"/>
        </w:rPr>
        <w:t>一般规定</w:t>
      </w:r>
      <w:bookmarkEnd w:id="17"/>
      <w:bookmarkEnd w:id="18"/>
      <w:bookmarkEnd w:id="19"/>
    </w:p>
    <w:p w14:paraId="51EE37DC">
      <w:pPr>
        <w:pStyle w:val="20"/>
        <w:bidi w:val="0"/>
        <w:rPr>
          <w:rFonts w:hint="default" w:ascii="Times New Roman" w:hAnsi="Times New Roman" w:eastAsia="宋体" w:cs="Times New Roman"/>
          <w:lang w:val="en-US" w:eastAsia="zh-CN"/>
        </w:rPr>
      </w:pPr>
      <w:r>
        <w:rPr>
          <w:rFonts w:hint="eastAsia" w:ascii="Times New Roman" w:hAnsi="Times New Roman" w:eastAsia="宋体" w:cs="Times New Roman"/>
          <w:b/>
          <w:bCs/>
          <w:lang w:val="en-US" w:eastAsia="zh-CN"/>
        </w:rPr>
        <w:t>4. 1. 1</w:t>
      </w:r>
      <w:r>
        <w:rPr>
          <w:rFonts w:hint="eastAsia"/>
          <w:b/>
          <w:bCs/>
          <w:lang w:val="en-US" w:eastAsia="zh-CN"/>
        </w:rPr>
        <w:t xml:space="preserve">  </w:t>
      </w:r>
      <w:r>
        <w:rPr>
          <w:rFonts w:hint="eastAsia" w:ascii="Times New Roman" w:hAnsi="Times New Roman" w:eastAsia="宋体" w:cs="Times New Roman"/>
          <w:lang w:val="en-US" w:eastAsia="zh-CN"/>
        </w:rPr>
        <w:t>土建工程施工验收应按照现行国家标准《建筑与市政工程施工质量控制通用规范》GB 55032和《光伏发电站施工规范》GB 50794的规定执行。</w:t>
      </w:r>
    </w:p>
    <w:p w14:paraId="75495E91">
      <w:pPr>
        <w:pStyle w:val="20"/>
        <w:bidi w:val="0"/>
        <w:rPr>
          <w:rFonts w:hint="default" w:ascii="Times New Roman" w:hAnsi="Times New Roman" w:eastAsia="宋体" w:cs="Times New Roman"/>
          <w:lang w:val="en-US" w:eastAsia="zh-CN"/>
        </w:rPr>
      </w:pPr>
      <w:r>
        <w:rPr>
          <w:rFonts w:hint="eastAsia" w:ascii="Times New Roman" w:hAnsi="Times New Roman" w:eastAsia="宋体" w:cs="Times New Roman"/>
          <w:b/>
          <w:bCs/>
          <w:lang w:val="en-US" w:eastAsia="zh-CN"/>
        </w:rPr>
        <w:t>4. 1. 2</w:t>
      </w:r>
      <w:r>
        <w:rPr>
          <w:rFonts w:hint="eastAsia"/>
          <w:b/>
          <w:bCs/>
          <w:lang w:val="en-US" w:eastAsia="zh-CN"/>
        </w:rPr>
        <w:t xml:space="preserve">  </w:t>
      </w:r>
      <w:r>
        <w:rPr>
          <w:rFonts w:hint="eastAsia" w:ascii="Times New Roman" w:hAnsi="Times New Roman" w:eastAsia="宋体" w:cs="Times New Roman"/>
          <w:lang w:val="en-US" w:eastAsia="zh-CN"/>
        </w:rPr>
        <w:t>测量放线验收应按照现行国家标准《工程测量通用规范》GB 55018的规定执行。</w:t>
      </w:r>
    </w:p>
    <w:p w14:paraId="33F7BC47">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4. 1. 3</w:t>
      </w:r>
      <w:r>
        <w:rPr>
          <w:rFonts w:hint="eastAsia"/>
          <w:b/>
          <w:bCs/>
          <w:lang w:val="en-US" w:eastAsia="zh-CN"/>
        </w:rPr>
        <w:t xml:space="preserve">  </w:t>
      </w:r>
      <w:r>
        <w:rPr>
          <w:rFonts w:hint="eastAsia" w:ascii="Times New Roman" w:hAnsi="Times New Roman" w:eastAsia="宋体" w:cs="Times New Roman"/>
          <w:lang w:val="en-US" w:eastAsia="zh-CN"/>
        </w:rPr>
        <w:t>混凝土结构工程施工验收应符合国家现行标准《混凝土结构通用规范》GB 55008和《混凝土外加剂》GB 8076的规定。</w:t>
      </w:r>
    </w:p>
    <w:p w14:paraId="29877B1A">
      <w:pPr>
        <w:pStyle w:val="27"/>
        <w:bidi w:val="0"/>
        <w:outlineLvl w:val="1"/>
        <w:rPr>
          <w:rFonts w:hint="eastAsia"/>
        </w:rPr>
      </w:pPr>
      <w:bookmarkStart w:id="20" w:name="_Toc32193"/>
      <w:bookmarkStart w:id="21" w:name="_Toc28482"/>
      <w:bookmarkStart w:id="22" w:name="_Toc9661"/>
      <w:r>
        <w:rPr>
          <w:rFonts w:hint="eastAsia"/>
          <w:b/>
          <w:bCs/>
        </w:rPr>
        <w:t>4.</w:t>
      </w:r>
      <w:r>
        <w:rPr>
          <w:rFonts w:hint="eastAsia"/>
          <w:b/>
          <w:bCs/>
          <w:lang w:val="en-US" w:eastAsia="zh-CN"/>
        </w:rPr>
        <w:t xml:space="preserve"> </w:t>
      </w:r>
      <w:r>
        <w:rPr>
          <w:rFonts w:hint="eastAsia"/>
          <w:b/>
          <w:bCs/>
        </w:rPr>
        <w:t>2</w:t>
      </w:r>
      <w:r>
        <w:rPr>
          <w:rFonts w:hint="eastAsia"/>
          <w:lang w:val="en-US" w:eastAsia="zh-CN"/>
        </w:rPr>
        <w:t xml:space="preserve">  </w:t>
      </w:r>
      <w:r>
        <w:rPr>
          <w:rFonts w:hint="eastAsia"/>
        </w:rPr>
        <w:t>土方工程</w:t>
      </w:r>
      <w:bookmarkEnd w:id="20"/>
      <w:bookmarkEnd w:id="21"/>
      <w:bookmarkEnd w:id="22"/>
    </w:p>
    <w:p w14:paraId="256D7955">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4. 2. 1</w:t>
      </w:r>
      <w:r>
        <w:rPr>
          <w:rFonts w:hint="eastAsia"/>
          <w:b/>
          <w:bCs/>
          <w:lang w:val="en-US" w:eastAsia="zh-CN"/>
        </w:rPr>
        <w:t xml:space="preserve">  </w:t>
      </w:r>
      <w:r>
        <w:rPr>
          <w:rFonts w:hint="eastAsia" w:ascii="Times New Roman" w:hAnsi="Times New Roman" w:eastAsia="宋体" w:cs="Times New Roman"/>
          <w:lang w:val="en-US" w:eastAsia="zh-CN"/>
        </w:rPr>
        <w:t>土方工程的施工应执行现行国家标准《建筑地基基础工程施工质量验收规范》GB 50202和《建筑与市政地基基础通用规范》GB 55003的规定，深基坑基础的土方工程施工还应符合现行行业标准《建筑基坑支护技术规程》JGJ 120的规定。</w:t>
      </w:r>
    </w:p>
    <w:p w14:paraId="33D56C6E">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4. 2. 2</w:t>
      </w:r>
      <w:r>
        <w:rPr>
          <w:rFonts w:hint="eastAsia"/>
          <w:b/>
          <w:bCs/>
          <w:lang w:val="en-US" w:eastAsia="zh-CN"/>
        </w:rPr>
        <w:t xml:space="preserve">  </w:t>
      </w:r>
      <w:r>
        <w:rPr>
          <w:rFonts w:hint="eastAsia" w:ascii="Times New Roman" w:hAnsi="Times New Roman" w:eastAsia="宋体" w:cs="Times New Roman"/>
          <w:lang w:val="en-US" w:eastAsia="zh-CN"/>
        </w:rPr>
        <w:t>升压站土方工程挖方验收时，开挖范围符合设计图纸要求，不得超出设计边界。建（构）筑物基础基坑底标高应满足设计要求，在地质满足承载力要求的情况下严禁超挖。如开挖至基底标高发现软弱夹层等异常地质，与地质勘查报告不符，或经现场试验承载力不满足设计要求，需及时联系设计出具变更意见，处理并验收。</w:t>
      </w:r>
    </w:p>
    <w:p w14:paraId="1C8CA97C">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4. 2. 3</w:t>
      </w:r>
      <w:r>
        <w:rPr>
          <w:rFonts w:hint="eastAsia"/>
          <w:b/>
          <w:bCs/>
          <w:lang w:val="en-US" w:eastAsia="zh-CN"/>
        </w:rPr>
        <w:t xml:space="preserve">  </w:t>
      </w:r>
      <w:r>
        <w:rPr>
          <w:rFonts w:hint="eastAsia" w:ascii="Times New Roman" w:hAnsi="Times New Roman" w:eastAsia="宋体" w:cs="Times New Roman"/>
          <w:lang w:val="en-US" w:eastAsia="zh-CN"/>
        </w:rPr>
        <w:t>山地光伏电站升压站土方工程填方区域验收时，应符合现行国家标准《建筑与市政地基基础通用规范》GB 55003的规定。建筑物和主变、避雷针、构架等主要设备基础坐落于回填区时，回填压实度检测验收应在现行规范基础上宜适当加密。</w:t>
      </w:r>
    </w:p>
    <w:p w14:paraId="28C5D109">
      <w:pPr>
        <w:pStyle w:val="20"/>
        <w:bidi w:val="0"/>
        <w:rPr>
          <w:rFonts w:hint="eastAsia" w:ascii="Times New Roman" w:hAnsi="Times New Roman" w:eastAsia="宋体" w:cs="Times New Roman"/>
          <w:lang w:val="en-US" w:eastAsia="zh-CN"/>
        </w:rPr>
      </w:pPr>
    </w:p>
    <w:p w14:paraId="41000EB9">
      <w:pPr>
        <w:pStyle w:val="27"/>
        <w:bidi w:val="0"/>
        <w:outlineLvl w:val="1"/>
      </w:pPr>
      <w:bookmarkStart w:id="23" w:name="_Toc18984"/>
      <w:bookmarkStart w:id="24" w:name="_Toc6247"/>
      <w:bookmarkStart w:id="25" w:name="_Toc23361"/>
      <w:bookmarkStart w:id="26" w:name="OLE_LINK3"/>
      <w:r>
        <w:rPr>
          <w:rFonts w:hint="eastAsia"/>
          <w:b/>
          <w:bCs/>
        </w:rPr>
        <w:t>4.</w:t>
      </w:r>
      <w:r>
        <w:rPr>
          <w:rFonts w:hint="eastAsia"/>
          <w:b/>
          <w:bCs/>
          <w:lang w:val="en-US" w:eastAsia="zh-CN"/>
        </w:rPr>
        <w:t xml:space="preserve"> </w:t>
      </w:r>
      <w:r>
        <w:rPr>
          <w:rFonts w:hint="eastAsia"/>
          <w:b/>
          <w:bCs/>
        </w:rPr>
        <w:t>3</w:t>
      </w:r>
      <w:r>
        <w:rPr>
          <w:rFonts w:hint="eastAsia"/>
          <w:lang w:val="en-US" w:eastAsia="zh-CN"/>
        </w:rPr>
        <w:t xml:space="preserve">  </w:t>
      </w:r>
      <w:r>
        <w:rPr>
          <w:rFonts w:hint="eastAsia"/>
        </w:rPr>
        <w:t>支架基础</w:t>
      </w:r>
      <w:bookmarkEnd w:id="23"/>
      <w:bookmarkEnd w:id="24"/>
      <w:bookmarkEnd w:id="25"/>
    </w:p>
    <w:bookmarkEnd w:id="26"/>
    <w:p w14:paraId="282D9E46">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4. 3. 1</w:t>
      </w:r>
      <w:r>
        <w:rPr>
          <w:rFonts w:hint="eastAsia"/>
          <w:b/>
          <w:bCs/>
          <w:lang w:val="en-US" w:eastAsia="zh-CN"/>
        </w:rPr>
        <w:t xml:space="preserve">  </w:t>
      </w:r>
      <w:r>
        <w:rPr>
          <w:rFonts w:hint="eastAsia" w:ascii="Times New Roman" w:hAnsi="Times New Roman" w:eastAsia="宋体" w:cs="Times New Roman"/>
          <w:lang w:val="en-US" w:eastAsia="zh-CN"/>
        </w:rPr>
        <w:t>支架基础结构所用的原材料及成品构件进场时应对品种、规格、外观和尺寸进行验收，应有产品合格证书及相关性能的检验报告，并应对必要的性能指标现场取样进行复验。原材料和成品构件进场后应分类保管，钢材、水泥等材料应储存在干燥场所，并应做好防护措施。</w:t>
      </w:r>
    </w:p>
    <w:p w14:paraId="39A8C2A1">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4. 3. 2</w:t>
      </w:r>
      <w:r>
        <w:rPr>
          <w:rFonts w:hint="eastAsia"/>
          <w:b/>
          <w:bCs/>
          <w:lang w:val="en-US" w:eastAsia="zh-CN"/>
        </w:rPr>
        <w:t xml:space="preserve">  </w:t>
      </w:r>
      <w:r>
        <w:rPr>
          <w:rFonts w:hint="eastAsia" w:ascii="Times New Roman" w:hAnsi="Times New Roman" w:eastAsia="宋体" w:cs="Times New Roman"/>
          <w:lang w:val="en-US" w:eastAsia="zh-CN"/>
        </w:rPr>
        <w:t>独立基础、条形基础在混凝土浇筑前应先进行基槽验收，轴线、基坑尺寸、基底标高应符合设计要求。基坑内浮土、杂物应清除干净。</w:t>
      </w:r>
    </w:p>
    <w:p w14:paraId="3BB40719">
      <w:pPr>
        <w:pStyle w:val="20"/>
        <w:bidi w:val="0"/>
        <w:rPr>
          <w:rFonts w:hint="default" w:ascii="Times New Roman" w:hAnsi="Times New Roman" w:eastAsia="宋体" w:cs="Times New Roman"/>
          <w:lang w:val="en-US" w:eastAsia="zh-CN"/>
        </w:rPr>
      </w:pPr>
      <w:r>
        <w:rPr>
          <w:rFonts w:hint="eastAsia" w:ascii="Times New Roman" w:hAnsi="Times New Roman" w:eastAsia="宋体" w:cs="Times New Roman"/>
          <w:b/>
          <w:bCs/>
          <w:lang w:val="en-US" w:eastAsia="zh-CN"/>
        </w:rPr>
        <w:t>4. 3. 3</w:t>
      </w:r>
      <w:r>
        <w:rPr>
          <w:rFonts w:hint="eastAsia"/>
          <w:b/>
          <w:bCs/>
          <w:lang w:val="en-US" w:eastAsia="zh-CN"/>
        </w:rPr>
        <w:t xml:space="preserve">  </w:t>
      </w:r>
      <w:r>
        <w:rPr>
          <w:rFonts w:hint="eastAsia" w:ascii="Times New Roman" w:hAnsi="Times New Roman" w:eastAsia="宋体" w:cs="Times New Roman"/>
          <w:lang w:val="en-US" w:eastAsia="zh-CN"/>
        </w:rPr>
        <w:t>桩式基础的施工应符合国家现行标准《建筑与市政地基基础通用规范》GB 55003和《建筑地基基础工程施工质量验收规范》GB 50202的规定。</w:t>
      </w:r>
    </w:p>
    <w:p w14:paraId="25F1498F">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4. 3. 4</w:t>
      </w:r>
      <w:r>
        <w:rPr>
          <w:rFonts w:hint="eastAsia"/>
          <w:b/>
          <w:bCs/>
          <w:lang w:val="en-US" w:eastAsia="zh-CN"/>
        </w:rPr>
        <w:t xml:space="preserve">  </w:t>
      </w:r>
      <w:r>
        <w:rPr>
          <w:rFonts w:hint="eastAsia" w:ascii="Times New Roman" w:hAnsi="Times New Roman" w:eastAsia="宋体" w:cs="Times New Roman"/>
          <w:lang w:val="en-US" w:eastAsia="zh-CN"/>
        </w:rPr>
        <w:t>桩基的试验检测应满足现行行业标准《建筑桩基技术规范》JGJ</w:t>
      </w:r>
      <w:r>
        <w:rPr>
          <w:rFonts w:hint="eastAsia" w:cs="Times New Roman"/>
          <w:lang w:val="en-US" w:eastAsia="zh-CN"/>
        </w:rPr>
        <w:t xml:space="preserve"> </w:t>
      </w:r>
      <w:r>
        <w:rPr>
          <w:rFonts w:hint="eastAsia" w:ascii="Times New Roman" w:hAnsi="Times New Roman" w:eastAsia="宋体" w:cs="Times New Roman"/>
          <w:lang w:val="en-US" w:eastAsia="zh-CN"/>
        </w:rPr>
        <w:t>94、《建筑桩基检测技术规范》JGJ 106的规定，并应符合设计图纸相关要求。</w:t>
      </w:r>
    </w:p>
    <w:p w14:paraId="37A3D47C">
      <w:pPr>
        <w:pStyle w:val="20"/>
        <w:bidi w:val="0"/>
        <w:rPr>
          <w:rFonts w:hint="default" w:ascii="Times New Roman" w:hAnsi="Times New Roman" w:eastAsia="宋体" w:cs="Times New Roman"/>
          <w:lang w:val="en-US" w:eastAsia="zh-CN"/>
        </w:rPr>
      </w:pPr>
      <w:r>
        <w:rPr>
          <w:rFonts w:hint="eastAsia" w:ascii="Times New Roman" w:hAnsi="Times New Roman" w:eastAsia="宋体" w:cs="Times New Roman"/>
          <w:b/>
          <w:bCs/>
          <w:lang w:val="en-US" w:eastAsia="zh-CN"/>
        </w:rPr>
        <w:t>4. 3. 5</w:t>
      </w:r>
      <w:r>
        <w:rPr>
          <w:rFonts w:hint="eastAsia"/>
          <w:b/>
          <w:bCs/>
          <w:lang w:val="en-US" w:eastAsia="zh-CN"/>
        </w:rPr>
        <w:t xml:space="preserve">  </w:t>
      </w:r>
      <w:r>
        <w:rPr>
          <w:rFonts w:hint="eastAsia" w:ascii="Times New Roman" w:hAnsi="Times New Roman" w:eastAsia="宋体" w:cs="Times New Roman"/>
          <w:lang w:val="en-US" w:eastAsia="zh-CN"/>
        </w:rPr>
        <w:t>锚杆基础施工应满足下列规定：</w:t>
      </w:r>
    </w:p>
    <w:p w14:paraId="7442E883">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锚杆基础施工前，应对岩石基面进行清理，清除表层覆土</w:t>
      </w:r>
      <w:r>
        <w:rPr>
          <w:rFonts w:hint="default" w:ascii="Times New Roman" w:hAnsi="Times New Roman" w:eastAsia="宋体" w:cs="Times New Roman"/>
          <w:lang w:val="en-US" w:eastAsia="zh-CN"/>
        </w:rPr>
        <w:t>和风化破碎层，确保锚固部位的岩石完好。若有破碎和裂隙等局</w:t>
      </w:r>
      <w:r>
        <w:rPr>
          <w:rFonts w:hint="eastAsia" w:ascii="Times New Roman" w:hAnsi="Times New Roman" w:eastAsia="宋体" w:cs="Times New Roman"/>
          <w:lang w:val="en-US" w:eastAsia="zh-CN"/>
        </w:rPr>
        <w:t>部缺陷，应避开或对局部缺陷处进行补强和加固后再施工。</w:t>
      </w:r>
    </w:p>
    <w:p w14:paraId="2D6404E2">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锚杆基础在注浆前，应清理孔内浮渣，严禁孔内浮石积水；</w:t>
      </w:r>
    </w:p>
    <w:p w14:paraId="363B0C96">
      <w:pPr>
        <w:pStyle w:val="20"/>
        <w:bidi w:val="0"/>
        <w:ind w:firstLine="562" w:firstLineChars="200"/>
        <w:rPr>
          <w:rFonts w:hint="default" w:ascii="Times New Roman" w:hAnsi="Times New Roman" w:eastAsia="宋体" w:cs="Times New Roman"/>
          <w:lang w:val="en-US" w:eastAsia="zh-CN"/>
        </w:rPr>
      </w:pPr>
      <w:r>
        <w:rPr>
          <w:rFonts w:hint="eastAsia" w:ascii="Times New Roman" w:hAnsi="Times New Roman" w:eastAsia="宋体" w:cs="Times New Roman"/>
          <w:b/>
          <w:bCs/>
          <w:lang w:val="en-US" w:eastAsia="zh-CN"/>
        </w:rPr>
        <w:t>3</w:t>
      </w:r>
      <w:r>
        <w:rPr>
          <w:rFonts w:hint="eastAsia"/>
          <w:b/>
          <w:bCs/>
          <w:lang w:val="en-US" w:eastAsia="zh-CN"/>
        </w:rPr>
        <w:t xml:space="preserve">  </w:t>
      </w:r>
      <w:r>
        <w:rPr>
          <w:rFonts w:hint="eastAsia" w:ascii="Times New Roman" w:hAnsi="Times New Roman" w:eastAsia="宋体" w:cs="Times New Roman"/>
          <w:lang w:val="en-US" w:eastAsia="zh-CN"/>
        </w:rPr>
        <w:t>锚杆基础施工结束后应进行施工尺寸偏差和抗拔承载力</w:t>
      </w:r>
      <w:r>
        <w:rPr>
          <w:rFonts w:hint="default" w:ascii="Times New Roman" w:hAnsi="Times New Roman" w:eastAsia="宋体" w:cs="Times New Roman"/>
          <w:lang w:val="en-US" w:eastAsia="zh-CN"/>
        </w:rPr>
        <w:t>检验。抗拔承载力的抽检数量不应少于总锚杆根数的0.5‰</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且不应少于</w:t>
      </w:r>
      <w:r>
        <w:rPr>
          <w:rFonts w:hint="eastAsia" w:ascii="Times New Roman" w:hAnsi="Times New Roman" w:eastAsia="宋体" w:cs="Times New Roman"/>
          <w:lang w:val="en-US" w:eastAsia="zh-CN"/>
        </w:rPr>
        <w:t>6</w:t>
      </w:r>
      <w:r>
        <w:rPr>
          <w:rFonts w:hint="default" w:ascii="Times New Roman" w:hAnsi="Times New Roman" w:eastAsia="宋体" w:cs="Times New Roman"/>
          <w:lang w:val="en-US" w:eastAsia="zh-CN"/>
        </w:rPr>
        <w:t>根。检测方法可按现行国家标准《建筑地基基础设计规范》GB 50007的规定确定。</w:t>
      </w:r>
    </w:p>
    <w:p w14:paraId="68137D7D">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w:t>
      </w:r>
      <w:r>
        <w:rPr>
          <w:rFonts w:hint="eastAsia"/>
          <w:b/>
          <w:bCs/>
          <w:lang w:val="en-US" w:eastAsia="zh-CN"/>
        </w:rPr>
        <w:t xml:space="preserve">  </w:t>
      </w:r>
      <w:r>
        <w:rPr>
          <w:rFonts w:hint="eastAsia" w:ascii="Times New Roman" w:hAnsi="Times New Roman" w:eastAsia="宋体" w:cs="Times New Roman"/>
          <w:lang w:val="en-US" w:eastAsia="zh-CN"/>
        </w:rPr>
        <w:t>锚杆基础的现浇混凝土承台应与基岩连成整体。</w:t>
      </w:r>
    </w:p>
    <w:p w14:paraId="6DB2C701">
      <w:pPr>
        <w:pageBreakBefore w:val="0"/>
        <w:overflowPunct/>
        <w:topLinePunct w:val="0"/>
        <w:bidi w:val="0"/>
        <w:outlineLvl w:val="1"/>
        <w:rPr>
          <w:rFonts w:hint="eastAsia"/>
        </w:rPr>
      </w:pPr>
      <w:bookmarkStart w:id="27" w:name="_Toc28124"/>
      <w:bookmarkStart w:id="28" w:name="_Toc25909"/>
      <w:bookmarkStart w:id="29" w:name="_Toc9615"/>
      <w:r>
        <w:rPr>
          <w:rFonts w:hint="eastAsia"/>
          <w:b/>
          <w:bCs/>
        </w:rPr>
        <w:t>4.</w:t>
      </w:r>
      <w:r>
        <w:rPr>
          <w:rFonts w:hint="eastAsia"/>
          <w:b/>
          <w:bCs/>
          <w:lang w:val="en-US" w:eastAsia="zh-CN"/>
        </w:rPr>
        <w:t xml:space="preserve"> </w:t>
      </w:r>
      <w:r>
        <w:rPr>
          <w:rFonts w:hint="eastAsia"/>
          <w:b/>
          <w:bCs/>
        </w:rPr>
        <w:t>4</w:t>
      </w:r>
      <w:r>
        <w:rPr>
          <w:rFonts w:hint="eastAsia"/>
          <w:b/>
          <w:bCs/>
          <w:lang w:val="en-US" w:eastAsia="zh-CN"/>
        </w:rPr>
        <w:t xml:space="preserve">  </w:t>
      </w:r>
      <w:r>
        <w:rPr>
          <w:rFonts w:hint="eastAsia"/>
        </w:rPr>
        <w:t>场地及地下设施</w:t>
      </w:r>
      <w:bookmarkEnd w:id="27"/>
      <w:bookmarkEnd w:id="28"/>
      <w:bookmarkEnd w:id="29"/>
    </w:p>
    <w:p w14:paraId="1399EC3A">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4. 4. 1</w:t>
      </w:r>
      <w:r>
        <w:rPr>
          <w:rFonts w:hint="eastAsia"/>
          <w:b/>
          <w:bCs/>
          <w:lang w:val="en-US" w:eastAsia="zh-CN"/>
        </w:rPr>
        <w:t xml:space="preserve">  </w:t>
      </w:r>
      <w:r>
        <w:rPr>
          <w:rFonts w:hint="eastAsia" w:ascii="Times New Roman" w:hAnsi="Times New Roman" w:eastAsia="宋体" w:cs="Times New Roman"/>
          <w:lang w:val="en-US" w:eastAsia="zh-CN"/>
        </w:rPr>
        <w:t>山地光伏电站道路的施工宜采用永临结合的方式进行，宜利用现有乡村道路、农作道路，减少土方开挖。</w:t>
      </w:r>
    </w:p>
    <w:p w14:paraId="3A71FE3B">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4. 4. 2</w:t>
      </w:r>
      <w:r>
        <w:rPr>
          <w:rFonts w:hint="eastAsia"/>
          <w:b/>
          <w:bCs/>
          <w:lang w:val="en-US" w:eastAsia="zh-CN"/>
        </w:rPr>
        <w:t xml:space="preserve">  </w:t>
      </w:r>
      <w:r>
        <w:rPr>
          <w:rFonts w:hint="eastAsia" w:ascii="Times New Roman" w:hAnsi="Times New Roman" w:eastAsia="宋体" w:cs="Times New Roman"/>
          <w:lang w:val="en-US" w:eastAsia="zh-CN"/>
        </w:rPr>
        <w:t>场区排水系统应与桩基、电缆沟同步施工，防止雨水浸泡冲刷地下设施，排水系统应遵循顺势疏导不堵不改、生态优先原则，严禁填埋、挤占、截弯取直原有自然溪流，不得改变溪流原有流向、过水断面及行洪通道，保障区域天然水系连通。</w:t>
      </w:r>
    </w:p>
    <w:p w14:paraId="7E1A3C0D">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4. 4. 3</w:t>
      </w:r>
      <w:r>
        <w:rPr>
          <w:rFonts w:hint="eastAsia"/>
          <w:b/>
          <w:bCs/>
          <w:lang w:val="en-US" w:eastAsia="zh-CN"/>
        </w:rPr>
        <w:t xml:space="preserve">  </w:t>
      </w:r>
      <w:r>
        <w:rPr>
          <w:rFonts w:hint="eastAsia" w:ascii="Times New Roman" w:hAnsi="Times New Roman" w:eastAsia="宋体" w:cs="Times New Roman"/>
          <w:lang w:val="en-US" w:eastAsia="zh-CN"/>
        </w:rPr>
        <w:t>其他场地及地下设施应符合现行国家标准《光伏发电站施工规范》GB 50794的规定。</w:t>
      </w:r>
    </w:p>
    <w:p w14:paraId="47AEB5E0">
      <w:pPr>
        <w:pStyle w:val="6"/>
        <w:ind w:firstLine="560" w:firstLineChars="200"/>
        <w:rPr>
          <w:rFonts w:hint="eastAsia"/>
          <w:color w:val="00B050"/>
          <w:sz w:val="28"/>
          <w:szCs w:val="28"/>
          <w:lang w:val="en-US" w:eastAsia="zh-CN"/>
        </w:rPr>
      </w:pPr>
    </w:p>
    <w:p w14:paraId="2D4A8AFB">
      <w:pPr>
        <w:pStyle w:val="6"/>
        <w:ind w:firstLine="560" w:firstLineChars="200"/>
        <w:rPr>
          <w:rFonts w:hint="eastAsia"/>
          <w:color w:val="00B050"/>
          <w:sz w:val="28"/>
          <w:szCs w:val="28"/>
          <w:lang w:val="en-US" w:eastAsia="zh-CN"/>
        </w:rPr>
      </w:pPr>
    </w:p>
    <w:p w14:paraId="3695CE3A">
      <w:pPr>
        <w:pStyle w:val="6"/>
        <w:ind w:firstLine="560" w:firstLineChars="200"/>
        <w:rPr>
          <w:rFonts w:hint="eastAsia"/>
          <w:color w:val="00B050"/>
          <w:sz w:val="28"/>
          <w:szCs w:val="28"/>
          <w:lang w:val="en-US" w:eastAsia="zh-CN"/>
        </w:rPr>
      </w:pPr>
    </w:p>
    <w:p w14:paraId="002C9911">
      <w:pPr>
        <w:pStyle w:val="6"/>
        <w:ind w:firstLine="560" w:firstLineChars="200"/>
        <w:rPr>
          <w:rFonts w:hint="eastAsia"/>
          <w:color w:val="00B050"/>
          <w:sz w:val="28"/>
          <w:szCs w:val="28"/>
          <w:lang w:val="en-US" w:eastAsia="zh-CN"/>
        </w:rPr>
      </w:pPr>
    </w:p>
    <w:p w14:paraId="53659C0E">
      <w:pPr>
        <w:pStyle w:val="6"/>
        <w:ind w:firstLine="560" w:firstLineChars="200"/>
        <w:rPr>
          <w:rFonts w:hint="eastAsia"/>
          <w:color w:val="00B050"/>
          <w:sz w:val="28"/>
          <w:szCs w:val="28"/>
          <w:lang w:val="en-US" w:eastAsia="zh-CN"/>
        </w:rPr>
      </w:pPr>
    </w:p>
    <w:p w14:paraId="1721F6A7">
      <w:pPr>
        <w:pStyle w:val="6"/>
        <w:ind w:firstLine="560" w:firstLineChars="200"/>
        <w:rPr>
          <w:rFonts w:hint="eastAsia"/>
          <w:color w:val="00B050"/>
          <w:sz w:val="28"/>
          <w:szCs w:val="28"/>
          <w:lang w:val="en-US" w:eastAsia="zh-CN"/>
        </w:rPr>
      </w:pPr>
    </w:p>
    <w:p w14:paraId="6D86BB8F">
      <w:pPr>
        <w:pStyle w:val="6"/>
        <w:ind w:firstLine="560" w:firstLineChars="200"/>
        <w:rPr>
          <w:rFonts w:hint="eastAsia"/>
          <w:color w:val="00B050"/>
          <w:sz w:val="28"/>
          <w:szCs w:val="28"/>
          <w:lang w:val="en-US" w:eastAsia="zh-CN"/>
        </w:rPr>
      </w:pPr>
    </w:p>
    <w:p w14:paraId="64995189">
      <w:pPr>
        <w:pStyle w:val="6"/>
        <w:ind w:firstLine="560" w:firstLineChars="200"/>
        <w:rPr>
          <w:rFonts w:hint="eastAsia"/>
          <w:color w:val="00B050"/>
          <w:sz w:val="28"/>
          <w:szCs w:val="28"/>
          <w:lang w:val="en-US" w:eastAsia="zh-CN"/>
        </w:rPr>
      </w:pPr>
    </w:p>
    <w:p w14:paraId="5533CEA9">
      <w:pPr>
        <w:pStyle w:val="6"/>
        <w:ind w:firstLine="560" w:firstLineChars="200"/>
        <w:rPr>
          <w:rFonts w:hint="eastAsia"/>
          <w:color w:val="00B050"/>
          <w:sz w:val="28"/>
          <w:szCs w:val="28"/>
          <w:lang w:val="en-US" w:eastAsia="zh-CN"/>
        </w:rPr>
      </w:pPr>
    </w:p>
    <w:p w14:paraId="497F8272">
      <w:pPr>
        <w:pStyle w:val="6"/>
        <w:ind w:firstLine="560" w:firstLineChars="200"/>
        <w:rPr>
          <w:rFonts w:hint="eastAsia"/>
          <w:color w:val="00B050"/>
          <w:sz w:val="28"/>
          <w:szCs w:val="28"/>
          <w:lang w:val="en-US" w:eastAsia="zh-CN"/>
        </w:rPr>
      </w:pPr>
    </w:p>
    <w:p w14:paraId="54C2EF1B">
      <w:pPr>
        <w:pStyle w:val="6"/>
        <w:ind w:firstLine="560" w:firstLineChars="200"/>
        <w:rPr>
          <w:rFonts w:hint="eastAsia"/>
          <w:color w:val="00B050"/>
          <w:sz w:val="28"/>
          <w:szCs w:val="28"/>
          <w:lang w:val="en-US" w:eastAsia="zh-CN"/>
        </w:rPr>
      </w:pPr>
    </w:p>
    <w:p w14:paraId="1D07AD5B">
      <w:pPr>
        <w:pStyle w:val="6"/>
        <w:ind w:firstLine="560" w:firstLineChars="200"/>
        <w:rPr>
          <w:rFonts w:hint="eastAsia"/>
          <w:color w:val="00B050"/>
          <w:sz w:val="28"/>
          <w:szCs w:val="28"/>
          <w:lang w:val="en-US" w:eastAsia="zh-CN"/>
        </w:rPr>
      </w:pPr>
    </w:p>
    <w:p w14:paraId="2CBE9574">
      <w:pPr>
        <w:pStyle w:val="6"/>
        <w:ind w:firstLine="560" w:firstLineChars="200"/>
        <w:rPr>
          <w:rFonts w:hint="eastAsia"/>
          <w:color w:val="00B050"/>
          <w:sz w:val="28"/>
          <w:szCs w:val="28"/>
          <w:lang w:val="en-US" w:eastAsia="zh-CN"/>
        </w:rPr>
      </w:pPr>
    </w:p>
    <w:p w14:paraId="2BAAE373">
      <w:pPr>
        <w:pStyle w:val="6"/>
        <w:ind w:firstLine="560" w:firstLineChars="200"/>
        <w:rPr>
          <w:rFonts w:hint="eastAsia"/>
          <w:color w:val="00B050"/>
          <w:sz w:val="28"/>
          <w:szCs w:val="28"/>
          <w:lang w:val="en-US" w:eastAsia="zh-CN"/>
        </w:rPr>
      </w:pPr>
    </w:p>
    <w:p w14:paraId="55A38846">
      <w:pPr>
        <w:pStyle w:val="26"/>
        <w:keepNext w:val="0"/>
        <w:keepLines w:val="0"/>
        <w:pageBreakBefore w:val="0"/>
        <w:widowControl w:val="0"/>
        <w:numPr>
          <w:ilvl w:val="0"/>
          <w:numId w:val="0"/>
        </w:numPr>
        <w:kinsoku/>
        <w:wordWrap/>
        <w:overflowPunct/>
        <w:topLinePunct w:val="0"/>
        <w:autoSpaceDE/>
        <w:autoSpaceDN/>
        <w:bidi w:val="0"/>
        <w:adjustRightInd w:val="0"/>
        <w:snapToGrid w:val="0"/>
        <w:spacing w:after="0" w:afterLines="0"/>
        <w:ind w:left="0" w:leftChars="0" w:right="0" w:rightChars="0" w:firstLine="0" w:firstLineChars="0"/>
        <w:jc w:val="center"/>
        <w:textAlignment w:val="auto"/>
        <w:outlineLvl w:val="0"/>
      </w:pPr>
      <w:bookmarkStart w:id="30" w:name="_Toc28084"/>
      <w:bookmarkStart w:id="31" w:name="_Toc319"/>
      <w:bookmarkStart w:id="32" w:name="_Toc18195"/>
      <w:r>
        <w:rPr>
          <w:rFonts w:hint="eastAsia"/>
          <w:b/>
          <w:bCs/>
          <w:lang w:val="en-US" w:eastAsia="zh-CN"/>
        </w:rPr>
        <w:t>5</w:t>
      </w:r>
      <w:r>
        <w:rPr>
          <w:rFonts w:hint="eastAsia"/>
          <w:lang w:val="en-US" w:eastAsia="zh-CN"/>
        </w:rPr>
        <w:t xml:space="preserve">  </w:t>
      </w:r>
      <w:r>
        <w:rPr>
          <w:rFonts w:hint="eastAsia"/>
        </w:rPr>
        <w:t>安装工程</w:t>
      </w:r>
      <w:bookmarkEnd w:id="30"/>
      <w:bookmarkEnd w:id="31"/>
      <w:bookmarkEnd w:id="32"/>
    </w:p>
    <w:p w14:paraId="06557159">
      <w:pPr>
        <w:pStyle w:val="27"/>
        <w:bidi w:val="0"/>
        <w:outlineLvl w:val="1"/>
        <w:rPr>
          <w:rFonts w:hint="eastAsia"/>
        </w:rPr>
      </w:pPr>
      <w:bookmarkStart w:id="33" w:name="_Toc23475"/>
      <w:bookmarkStart w:id="34" w:name="_Toc24142"/>
      <w:bookmarkStart w:id="35" w:name="_Toc21733"/>
      <w:bookmarkStart w:id="36" w:name="OLE_LINK1"/>
      <w:r>
        <w:rPr>
          <w:rFonts w:hint="eastAsia"/>
          <w:b/>
          <w:bCs/>
        </w:rPr>
        <w:t>5.</w:t>
      </w:r>
      <w:r>
        <w:rPr>
          <w:rFonts w:hint="eastAsia"/>
          <w:b/>
          <w:bCs/>
          <w:lang w:val="en-US" w:eastAsia="zh-CN"/>
        </w:rPr>
        <w:t xml:space="preserve"> </w:t>
      </w:r>
      <w:r>
        <w:rPr>
          <w:rFonts w:hint="eastAsia"/>
          <w:b/>
          <w:bCs/>
        </w:rPr>
        <w:t>1</w:t>
      </w:r>
      <w:r>
        <w:rPr>
          <w:rFonts w:hint="eastAsia"/>
          <w:b/>
          <w:bCs/>
          <w:lang w:val="en-US" w:eastAsia="zh-CN"/>
        </w:rPr>
        <w:t xml:space="preserve">  </w:t>
      </w:r>
      <w:r>
        <w:rPr>
          <w:rFonts w:hint="eastAsia"/>
        </w:rPr>
        <w:t>一般规定</w:t>
      </w:r>
      <w:bookmarkEnd w:id="33"/>
      <w:bookmarkEnd w:id="34"/>
      <w:bookmarkEnd w:id="35"/>
    </w:p>
    <w:bookmarkEnd w:id="36"/>
    <w:p w14:paraId="1C7F110C">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5. 1. 1</w:t>
      </w:r>
      <w:r>
        <w:rPr>
          <w:rFonts w:hint="eastAsia"/>
          <w:b/>
          <w:bCs/>
          <w:lang w:val="en-US" w:eastAsia="zh-CN"/>
        </w:rPr>
        <w:t xml:space="preserve">  </w:t>
      </w:r>
      <w:r>
        <w:rPr>
          <w:rFonts w:hint="eastAsia" w:ascii="Times New Roman" w:hAnsi="Times New Roman" w:eastAsia="宋体" w:cs="Times New Roman"/>
          <w:lang w:val="en-US" w:eastAsia="zh-CN"/>
        </w:rPr>
        <w:t>安装工程施工前，应完成山地光伏电站的施工中间交接验收，交接验收应符合下列要求：</w:t>
      </w:r>
    </w:p>
    <w:p w14:paraId="0F8E007C">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光伏电站施工中间交接项目可包含：升压站基础、高低压盘柜基础、逆变器基础、配电间、支架基础、电缆沟道、设备基础二次灌浆等。</w:t>
      </w:r>
    </w:p>
    <w:p w14:paraId="060EC367">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土建交付安装项目时，应由土建专业填写“中间交接验收签证书”，并提供相关技术资料，交安装专业查验。</w:t>
      </w:r>
    </w:p>
    <w:p w14:paraId="7F85F544">
      <w:pPr>
        <w:pStyle w:val="20"/>
        <w:bidi w:val="0"/>
        <w:outlineLvl w:val="9"/>
        <w:rPr>
          <w:rFonts w:hint="eastAsia" w:ascii="Times New Roman" w:hAnsi="Times New Roman" w:eastAsia="宋体" w:cs="Times New Roman"/>
          <w:lang w:val="en-US" w:eastAsia="zh-CN"/>
        </w:rPr>
      </w:pPr>
      <w:bookmarkStart w:id="37" w:name="_Toc25759"/>
      <w:r>
        <w:rPr>
          <w:rFonts w:hint="eastAsia" w:ascii="Times New Roman" w:hAnsi="Times New Roman" w:eastAsia="宋体" w:cs="Times New Roman"/>
          <w:b/>
          <w:bCs/>
          <w:lang w:val="en-US" w:eastAsia="zh-CN"/>
        </w:rPr>
        <w:t>5. 1. 2</w:t>
      </w:r>
      <w:r>
        <w:rPr>
          <w:rFonts w:hint="eastAsia"/>
          <w:b/>
          <w:bCs/>
          <w:lang w:val="en-US" w:eastAsia="zh-CN"/>
        </w:rPr>
        <w:t xml:space="preserve">  </w:t>
      </w:r>
      <w:r>
        <w:rPr>
          <w:rFonts w:hint="eastAsia" w:ascii="Times New Roman" w:hAnsi="Times New Roman" w:eastAsia="宋体" w:cs="Times New Roman"/>
          <w:lang w:val="en-US" w:eastAsia="zh-CN"/>
        </w:rPr>
        <w:t>安装人员应经过相关安装知识培训。</w:t>
      </w:r>
      <w:bookmarkEnd w:id="37"/>
    </w:p>
    <w:p w14:paraId="681AD146">
      <w:pPr>
        <w:pStyle w:val="27"/>
        <w:bidi w:val="0"/>
        <w:outlineLvl w:val="1"/>
      </w:pPr>
      <w:bookmarkStart w:id="38" w:name="_Toc24274"/>
      <w:bookmarkStart w:id="39" w:name="_Toc535"/>
      <w:bookmarkStart w:id="40" w:name="_Toc8317"/>
      <w:r>
        <w:rPr>
          <w:rFonts w:hint="eastAsia"/>
          <w:b/>
          <w:bCs/>
        </w:rPr>
        <w:t>5.</w:t>
      </w:r>
      <w:r>
        <w:rPr>
          <w:rFonts w:hint="eastAsia"/>
          <w:b/>
          <w:bCs/>
          <w:lang w:val="en-US" w:eastAsia="zh-CN"/>
        </w:rPr>
        <w:t xml:space="preserve"> </w:t>
      </w:r>
      <w:r>
        <w:rPr>
          <w:rFonts w:hint="eastAsia"/>
          <w:b/>
          <w:bCs/>
        </w:rPr>
        <w:t>2</w:t>
      </w:r>
      <w:r>
        <w:rPr>
          <w:rFonts w:hint="eastAsia"/>
          <w:lang w:val="en-US" w:eastAsia="zh-CN"/>
        </w:rPr>
        <w:t xml:space="preserve">  </w:t>
      </w:r>
      <w:r>
        <w:rPr>
          <w:rFonts w:hint="eastAsia"/>
        </w:rPr>
        <w:t>支架安装</w:t>
      </w:r>
      <w:bookmarkEnd w:id="38"/>
      <w:bookmarkEnd w:id="39"/>
      <w:bookmarkEnd w:id="40"/>
    </w:p>
    <w:p w14:paraId="2A6D1833">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5. 2. 1</w:t>
      </w:r>
      <w:r>
        <w:rPr>
          <w:rFonts w:hint="eastAsia"/>
          <w:b/>
          <w:bCs/>
          <w:lang w:val="en-US" w:eastAsia="zh-CN"/>
        </w:rPr>
        <w:t xml:space="preserve">  </w:t>
      </w:r>
      <w:r>
        <w:rPr>
          <w:rFonts w:hint="eastAsia" w:ascii="Times New Roman" w:hAnsi="Times New Roman" w:eastAsia="宋体" w:cs="Times New Roman"/>
          <w:lang w:val="en-US" w:eastAsia="zh-CN"/>
        </w:rPr>
        <w:t>支架安装应符合现行国家标准《光伏发电站施工规范》GB 50794的规定。</w:t>
      </w:r>
    </w:p>
    <w:p w14:paraId="5C21A19B">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5. 2. 2</w:t>
      </w:r>
      <w:r>
        <w:rPr>
          <w:rFonts w:hint="eastAsia"/>
          <w:b/>
          <w:bCs/>
          <w:lang w:val="en-US" w:eastAsia="zh-CN"/>
        </w:rPr>
        <w:t xml:space="preserve">  </w:t>
      </w:r>
      <w:r>
        <w:rPr>
          <w:rFonts w:hint="eastAsia" w:ascii="Times New Roman" w:hAnsi="Times New Roman" w:eastAsia="宋体" w:cs="Times New Roman"/>
          <w:lang w:val="en-US" w:eastAsia="zh-CN"/>
        </w:rPr>
        <w:t>应根据山地地形坡度制定支架运输方案，保证支架运输安全、质量完好。</w:t>
      </w:r>
    </w:p>
    <w:p w14:paraId="0214D80B">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5. 2. 3</w:t>
      </w:r>
      <w:r>
        <w:rPr>
          <w:rFonts w:hint="eastAsia"/>
          <w:b/>
          <w:bCs/>
          <w:lang w:val="en-US" w:eastAsia="zh-CN"/>
        </w:rPr>
        <w:t xml:space="preserve">  </w:t>
      </w:r>
      <w:r>
        <w:rPr>
          <w:rFonts w:hint="eastAsia" w:ascii="Times New Roman" w:hAnsi="Times New Roman" w:eastAsia="宋体" w:cs="Times New Roman"/>
          <w:lang w:val="en-US" w:eastAsia="zh-CN"/>
        </w:rPr>
        <w:t>山地光伏电站支架安装应符合下列规定：</w:t>
      </w:r>
    </w:p>
    <w:p w14:paraId="53B0C054">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支架钢结构安装工艺应符合现行国家标准《钢结构工程施工及验收规范》GB 50205和《冷弯薄壁型钢结构术规范》GB 50018的规定。</w:t>
      </w:r>
    </w:p>
    <w:p w14:paraId="1A94CF64">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安装高度超过2m，安装人员应配备安全带。</w:t>
      </w:r>
    </w:p>
    <w:p w14:paraId="2EEA7E34">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3</w:t>
      </w:r>
      <w:r>
        <w:rPr>
          <w:rFonts w:hint="eastAsia"/>
          <w:b/>
          <w:bCs/>
          <w:lang w:val="en-US" w:eastAsia="zh-CN"/>
        </w:rPr>
        <w:t xml:space="preserve">  </w:t>
      </w:r>
      <w:r>
        <w:rPr>
          <w:rFonts w:hint="eastAsia" w:ascii="Times New Roman" w:hAnsi="Times New Roman" w:eastAsia="宋体" w:cs="Times New Roman"/>
          <w:lang w:val="en-US" w:eastAsia="zh-CN"/>
        </w:rPr>
        <w:t>在没有采取加固及校正措施前，不能进行螺栓的终拧。</w:t>
      </w:r>
    </w:p>
    <w:p w14:paraId="791FE8C3">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5. 2. 4</w:t>
      </w:r>
      <w:r>
        <w:rPr>
          <w:rFonts w:hint="eastAsia"/>
          <w:b/>
          <w:bCs/>
          <w:lang w:val="en-US" w:eastAsia="zh-CN"/>
        </w:rPr>
        <w:t xml:space="preserve">  </w:t>
      </w:r>
      <w:r>
        <w:rPr>
          <w:rFonts w:hint="eastAsia" w:ascii="Times New Roman" w:hAnsi="Times New Roman" w:eastAsia="宋体" w:cs="Times New Roman"/>
          <w:lang w:val="en-US" w:eastAsia="zh-CN"/>
        </w:rPr>
        <w:t>光伏支架应与场区环形接地网可靠连接，每个支架群与接地网的接地点不应少于两个。</w:t>
      </w:r>
    </w:p>
    <w:p w14:paraId="1DAA1933">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5. 2. 5</w:t>
      </w:r>
      <w:r>
        <w:rPr>
          <w:rFonts w:hint="eastAsia"/>
          <w:b/>
          <w:bCs/>
          <w:lang w:val="en-US" w:eastAsia="zh-CN"/>
        </w:rPr>
        <w:t xml:space="preserve">  </w:t>
      </w:r>
      <w:r>
        <w:rPr>
          <w:rFonts w:hint="eastAsia" w:ascii="Times New Roman" w:hAnsi="Times New Roman" w:eastAsia="宋体" w:cs="Times New Roman"/>
          <w:lang w:val="en-US" w:eastAsia="zh-CN"/>
        </w:rPr>
        <w:t>进行支架安装时，宜设置防止人员、材料滑落的防护装置。</w:t>
      </w:r>
    </w:p>
    <w:p w14:paraId="1975A974">
      <w:pPr>
        <w:pStyle w:val="20"/>
        <w:bidi w:val="0"/>
        <w:rPr>
          <w:rFonts w:hint="eastAsia" w:ascii="Times New Roman" w:hAnsi="Times New Roman" w:eastAsia="宋体" w:cs="Times New Roman"/>
          <w:lang w:val="en-US" w:eastAsia="zh-CN"/>
        </w:rPr>
      </w:pPr>
    </w:p>
    <w:p w14:paraId="05458255">
      <w:pPr>
        <w:pStyle w:val="27"/>
        <w:bidi w:val="0"/>
        <w:outlineLvl w:val="1"/>
      </w:pPr>
      <w:bookmarkStart w:id="41" w:name="_Toc884"/>
      <w:bookmarkStart w:id="42" w:name="_Toc19809"/>
      <w:bookmarkStart w:id="43" w:name="_Toc4286"/>
      <w:r>
        <w:rPr>
          <w:rFonts w:hint="eastAsia"/>
          <w:b/>
          <w:bCs/>
        </w:rPr>
        <w:t>5.</w:t>
      </w:r>
      <w:r>
        <w:rPr>
          <w:rFonts w:hint="eastAsia"/>
          <w:b/>
          <w:bCs/>
          <w:lang w:val="en-US" w:eastAsia="zh-CN"/>
        </w:rPr>
        <w:t xml:space="preserve"> </w:t>
      </w:r>
      <w:r>
        <w:rPr>
          <w:rFonts w:hint="eastAsia"/>
          <w:b/>
          <w:bCs/>
        </w:rPr>
        <w:t>3</w:t>
      </w:r>
      <w:r>
        <w:rPr>
          <w:rFonts w:hint="eastAsia"/>
          <w:lang w:val="en-US" w:eastAsia="zh-CN"/>
        </w:rPr>
        <w:t xml:space="preserve">  </w:t>
      </w:r>
      <w:r>
        <w:rPr>
          <w:rFonts w:hint="eastAsia"/>
        </w:rPr>
        <w:t>组件安装</w:t>
      </w:r>
      <w:bookmarkEnd w:id="41"/>
      <w:bookmarkEnd w:id="42"/>
      <w:bookmarkEnd w:id="43"/>
    </w:p>
    <w:p w14:paraId="632E3B81">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5. 3. 1</w:t>
      </w:r>
      <w:r>
        <w:rPr>
          <w:rFonts w:hint="eastAsia"/>
          <w:b/>
          <w:bCs/>
          <w:lang w:val="en-US" w:eastAsia="zh-CN"/>
        </w:rPr>
        <w:t xml:space="preserve">  </w:t>
      </w:r>
      <w:r>
        <w:rPr>
          <w:rFonts w:hint="eastAsia" w:ascii="Times New Roman" w:hAnsi="Times New Roman" w:eastAsia="宋体" w:cs="Times New Roman"/>
          <w:lang w:val="en-US" w:eastAsia="zh-CN"/>
        </w:rPr>
        <w:t>组件安装应满足设计要求，光伏组件应按设计间距排列整齐并可靠固定在支架或连接件上。</w:t>
      </w:r>
    </w:p>
    <w:p w14:paraId="72D46C92">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5. 3. 2</w:t>
      </w:r>
      <w:r>
        <w:rPr>
          <w:rFonts w:hint="eastAsia"/>
          <w:b/>
          <w:bCs/>
          <w:lang w:val="en-US" w:eastAsia="zh-CN"/>
        </w:rPr>
        <w:t xml:space="preserve">  </w:t>
      </w:r>
      <w:r>
        <w:rPr>
          <w:rFonts w:hint="eastAsia" w:ascii="Times New Roman" w:hAnsi="Times New Roman" w:eastAsia="宋体" w:cs="Times New Roman"/>
          <w:lang w:val="en-US" w:eastAsia="zh-CN"/>
        </w:rPr>
        <w:t>组件安装前应做下列准备工作：</w:t>
      </w:r>
    </w:p>
    <w:p w14:paraId="5F4FAC92">
      <w:pPr>
        <w:pStyle w:val="20"/>
        <w:bidi w:val="0"/>
        <w:ind w:firstLine="562" w:firstLineChars="200"/>
        <w:outlineLvl w:val="9"/>
        <w:rPr>
          <w:rFonts w:hint="eastAsia" w:ascii="Times New Roman" w:hAnsi="Times New Roman" w:eastAsia="宋体" w:cs="Times New Roman"/>
          <w:lang w:val="en-US" w:eastAsia="zh-CN"/>
        </w:rPr>
      </w:pPr>
      <w:bookmarkStart w:id="44" w:name="_Toc2606"/>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支架的安装应验收合格；</w:t>
      </w:r>
      <w:bookmarkEnd w:id="44"/>
    </w:p>
    <w:p w14:paraId="7F8C0159">
      <w:pPr>
        <w:pStyle w:val="20"/>
        <w:bidi w:val="0"/>
        <w:ind w:firstLine="562" w:firstLineChars="200"/>
        <w:outlineLvl w:val="9"/>
        <w:rPr>
          <w:rFonts w:hint="eastAsia" w:ascii="Times New Roman" w:hAnsi="Times New Roman" w:eastAsia="宋体" w:cs="Times New Roman"/>
          <w:lang w:val="en-US" w:eastAsia="zh-CN"/>
        </w:rPr>
      </w:pPr>
      <w:bookmarkStart w:id="45" w:name="_Toc10047"/>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组件的外观及各部件应完好无损；</w:t>
      </w:r>
      <w:bookmarkEnd w:id="45"/>
    </w:p>
    <w:p w14:paraId="41CA72B3">
      <w:pPr>
        <w:pStyle w:val="20"/>
        <w:bidi w:val="0"/>
        <w:ind w:firstLine="562" w:firstLineChars="200"/>
        <w:outlineLvl w:val="9"/>
        <w:rPr>
          <w:rFonts w:hint="eastAsia" w:ascii="Times New Roman" w:hAnsi="Times New Roman" w:eastAsia="宋体" w:cs="Times New Roman"/>
          <w:lang w:val="en-US" w:eastAsia="zh-CN"/>
        </w:rPr>
      </w:pPr>
      <w:bookmarkStart w:id="46" w:name="_Toc7217"/>
      <w:r>
        <w:rPr>
          <w:rFonts w:hint="eastAsia" w:ascii="Times New Roman" w:hAnsi="Times New Roman" w:eastAsia="宋体" w:cs="Times New Roman"/>
          <w:b/>
          <w:bCs/>
          <w:lang w:val="en-US" w:eastAsia="zh-CN"/>
        </w:rPr>
        <w:t>3</w:t>
      </w:r>
      <w:r>
        <w:rPr>
          <w:rFonts w:hint="eastAsia"/>
          <w:b/>
          <w:bCs/>
          <w:lang w:val="en-US" w:eastAsia="zh-CN"/>
        </w:rPr>
        <w:t xml:space="preserve">  </w:t>
      </w:r>
      <w:r>
        <w:rPr>
          <w:rFonts w:hint="eastAsia" w:ascii="Times New Roman" w:hAnsi="Times New Roman" w:eastAsia="宋体" w:cs="Times New Roman"/>
          <w:lang w:val="en-US" w:eastAsia="zh-CN"/>
        </w:rPr>
        <w:t>宜按照组件的电压、电流参数进行分类和组串。</w:t>
      </w:r>
      <w:bookmarkEnd w:id="46"/>
    </w:p>
    <w:p w14:paraId="7DD5978D">
      <w:pPr>
        <w:pStyle w:val="20"/>
        <w:bidi w:val="0"/>
        <w:rPr>
          <w:rFonts w:hint="default" w:ascii="Times New Roman" w:hAnsi="Times New Roman" w:eastAsia="宋体" w:cs="Times New Roman"/>
          <w:lang w:val="en-US" w:eastAsia="zh-CN"/>
        </w:rPr>
      </w:pPr>
      <w:r>
        <w:rPr>
          <w:rFonts w:hint="eastAsia" w:ascii="Times New Roman" w:hAnsi="Times New Roman" w:eastAsia="宋体" w:cs="Times New Roman"/>
          <w:b/>
          <w:bCs/>
          <w:lang w:val="en-US" w:eastAsia="zh-CN"/>
        </w:rPr>
        <w:t>5. 3. 3</w:t>
      </w:r>
      <w:r>
        <w:rPr>
          <w:rFonts w:hint="eastAsia"/>
          <w:b/>
          <w:bCs/>
          <w:lang w:val="en-US" w:eastAsia="zh-CN"/>
        </w:rPr>
        <w:t xml:space="preserve">  </w:t>
      </w:r>
      <w:r>
        <w:rPr>
          <w:rFonts w:hint="eastAsia" w:ascii="Times New Roman" w:hAnsi="Times New Roman" w:eastAsia="宋体" w:cs="Times New Roman"/>
          <w:lang w:val="en-US" w:eastAsia="zh-CN"/>
        </w:rPr>
        <w:t>组件安装应符合现行国家标准《光伏发电站施工规范》GB 50794的规定。</w:t>
      </w:r>
    </w:p>
    <w:p w14:paraId="7433A622">
      <w:pPr>
        <w:pStyle w:val="20"/>
        <w:bidi w:val="0"/>
        <w:outlineLvl w:val="9"/>
        <w:rPr>
          <w:rFonts w:hint="eastAsia" w:ascii="Times New Roman" w:hAnsi="Times New Roman" w:eastAsia="宋体" w:cs="Times New Roman"/>
          <w:lang w:val="en-US" w:eastAsia="zh-CN"/>
        </w:rPr>
      </w:pPr>
      <w:bookmarkStart w:id="47" w:name="_Toc12829"/>
      <w:r>
        <w:rPr>
          <w:rFonts w:hint="eastAsia" w:ascii="Times New Roman" w:hAnsi="Times New Roman" w:eastAsia="宋体" w:cs="Times New Roman"/>
          <w:b/>
          <w:bCs/>
          <w:lang w:val="en-US" w:eastAsia="zh-CN"/>
        </w:rPr>
        <w:t>5. 3. 5</w:t>
      </w:r>
      <w:r>
        <w:rPr>
          <w:rFonts w:hint="eastAsia"/>
          <w:b/>
          <w:bCs/>
          <w:lang w:val="en-US" w:eastAsia="zh-CN"/>
        </w:rPr>
        <w:t xml:space="preserve">  </w:t>
      </w:r>
      <w:r>
        <w:rPr>
          <w:rFonts w:hint="eastAsia" w:ascii="Times New Roman" w:hAnsi="Times New Roman" w:eastAsia="宋体" w:cs="Times New Roman"/>
          <w:lang w:val="en-US" w:eastAsia="zh-CN"/>
        </w:rPr>
        <w:t>严禁触摸组件串的金属带电部位。</w:t>
      </w:r>
      <w:bookmarkEnd w:id="47"/>
    </w:p>
    <w:p w14:paraId="5A04D5E1">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5. 3. 6</w:t>
      </w:r>
      <w:r>
        <w:rPr>
          <w:rFonts w:hint="eastAsia"/>
          <w:b/>
          <w:bCs/>
          <w:lang w:val="en-US" w:eastAsia="zh-CN"/>
        </w:rPr>
        <w:t xml:space="preserve">  </w:t>
      </w:r>
      <w:r>
        <w:rPr>
          <w:rFonts w:hint="eastAsia" w:ascii="Times New Roman" w:hAnsi="Times New Roman" w:eastAsia="宋体" w:cs="Times New Roman"/>
          <w:lang w:val="en-US" w:eastAsia="zh-CN"/>
        </w:rPr>
        <w:t>严禁在雨中进行组件的连接工作。</w:t>
      </w:r>
    </w:p>
    <w:p w14:paraId="32D8930B">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5. 3. 7</w:t>
      </w:r>
      <w:r>
        <w:rPr>
          <w:rFonts w:hint="eastAsia"/>
          <w:b/>
          <w:bCs/>
          <w:lang w:val="en-US" w:eastAsia="zh-CN"/>
        </w:rPr>
        <w:t xml:space="preserve">  </w:t>
      </w:r>
      <w:r>
        <w:rPr>
          <w:rFonts w:hint="eastAsia" w:ascii="Times New Roman" w:hAnsi="Times New Roman" w:eastAsia="宋体" w:cs="Times New Roman"/>
          <w:lang w:val="en-US" w:eastAsia="zh-CN"/>
        </w:rPr>
        <w:t>针对云南高原山地特点，严禁在雷电天气进行组件安装。</w:t>
      </w:r>
    </w:p>
    <w:p w14:paraId="20984455">
      <w:pPr>
        <w:pStyle w:val="27"/>
        <w:bidi w:val="0"/>
        <w:outlineLvl w:val="1"/>
      </w:pPr>
      <w:bookmarkStart w:id="48" w:name="_Toc28737"/>
      <w:bookmarkStart w:id="49" w:name="_Toc21445"/>
      <w:bookmarkStart w:id="50" w:name="_Toc14540"/>
      <w:r>
        <w:rPr>
          <w:rFonts w:hint="eastAsia"/>
          <w:b/>
          <w:bCs/>
        </w:rPr>
        <w:t>5.</w:t>
      </w:r>
      <w:r>
        <w:rPr>
          <w:rFonts w:hint="eastAsia"/>
          <w:b/>
          <w:bCs/>
          <w:lang w:val="en-US" w:eastAsia="zh-CN"/>
        </w:rPr>
        <w:t xml:space="preserve"> 4  </w:t>
      </w:r>
      <w:r>
        <w:rPr>
          <w:rFonts w:hint="eastAsia"/>
        </w:rPr>
        <w:t>逆变器安装</w:t>
      </w:r>
      <w:bookmarkEnd w:id="48"/>
      <w:bookmarkEnd w:id="49"/>
      <w:bookmarkEnd w:id="50"/>
    </w:p>
    <w:p w14:paraId="59A81A2F">
      <w:pPr>
        <w:pStyle w:val="20"/>
        <w:bidi w:val="0"/>
        <w:rPr>
          <w:rFonts w:hint="default" w:ascii="Times New Roman" w:hAnsi="Times New Roman" w:eastAsia="宋体" w:cs="Times New Roman"/>
          <w:lang w:val="en-US" w:eastAsia="zh-CN"/>
        </w:rPr>
      </w:pPr>
      <w:r>
        <w:rPr>
          <w:rFonts w:hint="eastAsia" w:ascii="Times New Roman" w:hAnsi="Times New Roman" w:eastAsia="宋体" w:cs="Times New Roman"/>
          <w:b/>
          <w:bCs/>
          <w:lang w:val="en-US" w:eastAsia="zh-CN"/>
        </w:rPr>
        <w:t>5. 4. 1</w:t>
      </w:r>
      <w:r>
        <w:rPr>
          <w:rFonts w:hint="eastAsia"/>
          <w:b/>
          <w:bCs/>
          <w:lang w:val="en-US" w:eastAsia="zh-CN"/>
        </w:rPr>
        <w:t xml:space="preserve">  </w:t>
      </w:r>
      <w:r>
        <w:rPr>
          <w:rFonts w:hint="eastAsia" w:ascii="Times New Roman" w:hAnsi="Times New Roman" w:eastAsia="宋体" w:cs="Times New Roman"/>
          <w:lang w:val="en-US" w:eastAsia="zh-CN"/>
        </w:rPr>
        <w:t>逆变器安装前、安装与调整应符合现行国家标准《光伏发电站施工规范》GB 50794的规定。</w:t>
      </w:r>
    </w:p>
    <w:p w14:paraId="3593BC70">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5. 4. 2</w:t>
      </w:r>
      <w:r>
        <w:rPr>
          <w:rFonts w:hint="eastAsia"/>
          <w:b/>
          <w:bCs/>
          <w:lang w:val="en-US" w:eastAsia="zh-CN"/>
        </w:rPr>
        <w:t xml:space="preserve">  </w:t>
      </w:r>
      <w:r>
        <w:rPr>
          <w:rFonts w:hint="eastAsia" w:ascii="Times New Roman" w:hAnsi="Times New Roman" w:eastAsia="宋体" w:cs="Times New Roman"/>
          <w:lang w:val="en-US" w:eastAsia="zh-CN"/>
        </w:rPr>
        <w:t>组串式逆变器安装应符合下列要求：</w:t>
      </w:r>
    </w:p>
    <w:p w14:paraId="7F5D1428">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逆变器的安装方向应符合设计规定；</w:t>
      </w:r>
    </w:p>
    <w:p w14:paraId="042EB84C">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逆变器与挂架之间固定应牢固可靠；</w:t>
      </w:r>
    </w:p>
    <w:p w14:paraId="3C53F7C4">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3</w:t>
      </w:r>
      <w:r>
        <w:rPr>
          <w:rFonts w:hint="eastAsia"/>
          <w:b/>
          <w:bCs/>
          <w:lang w:val="en-US" w:eastAsia="zh-CN"/>
        </w:rPr>
        <w:t xml:space="preserve">  </w:t>
      </w:r>
      <w:r>
        <w:rPr>
          <w:rFonts w:hint="eastAsia" w:ascii="Times New Roman" w:hAnsi="Times New Roman" w:eastAsia="宋体" w:cs="Times New Roman"/>
          <w:lang w:val="en-US" w:eastAsia="zh-CN"/>
        </w:rPr>
        <w:t>逆变器安装应防积水、防触碰、便于操作；</w:t>
      </w:r>
    </w:p>
    <w:p w14:paraId="74F8A5D2">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w:t>
      </w:r>
      <w:r>
        <w:rPr>
          <w:rFonts w:hint="eastAsia"/>
          <w:b/>
          <w:bCs/>
          <w:lang w:val="en-US" w:eastAsia="zh-CN"/>
        </w:rPr>
        <w:t xml:space="preserve">  </w:t>
      </w:r>
      <w:r>
        <w:rPr>
          <w:rFonts w:hint="eastAsia" w:ascii="Times New Roman" w:hAnsi="Times New Roman" w:eastAsia="宋体" w:cs="Times New Roman"/>
          <w:lang w:val="en-US" w:eastAsia="zh-CN"/>
        </w:rPr>
        <w:t>逆变器直流侧、交流侧电缆接线前，应检查电缆绝缘性能，校对电缆极性与相序；直流电缆绝缘测试应采用符合要求的测试电压，防止组件及逆变器损坏。</w:t>
      </w:r>
    </w:p>
    <w:p w14:paraId="70F1ACF6">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w:t>
      </w:r>
      <w:r>
        <w:rPr>
          <w:rFonts w:hint="eastAsia"/>
          <w:b/>
          <w:bCs/>
          <w:lang w:val="en-US" w:eastAsia="zh-CN"/>
        </w:rPr>
        <w:t xml:space="preserve">  </w:t>
      </w:r>
      <w:r>
        <w:rPr>
          <w:rFonts w:hint="eastAsia" w:ascii="Times New Roman" w:hAnsi="Times New Roman" w:eastAsia="宋体" w:cs="Times New Roman"/>
          <w:lang w:val="en-US" w:eastAsia="zh-CN"/>
        </w:rPr>
        <w:t>逆变器直流侧电缆的连接线应向下弯曲防雨水流入设备内。</w:t>
      </w:r>
    </w:p>
    <w:p w14:paraId="301ED787">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w:t>
      </w:r>
      <w:r>
        <w:rPr>
          <w:rFonts w:hint="eastAsia"/>
          <w:b/>
          <w:bCs/>
          <w:lang w:val="en-US" w:eastAsia="zh-CN"/>
        </w:rPr>
        <w:t xml:space="preserve">  </w:t>
      </w:r>
      <w:r>
        <w:rPr>
          <w:rFonts w:hint="eastAsia" w:ascii="Times New Roman" w:hAnsi="Times New Roman" w:eastAsia="宋体" w:cs="Times New Roman"/>
          <w:lang w:val="en-US" w:eastAsia="zh-CN"/>
        </w:rPr>
        <w:t>逆变器输入及输出线缆应悬挂电缆牌，应注明线路编号、起点、终点、规格等信息。</w:t>
      </w:r>
    </w:p>
    <w:p w14:paraId="030BDC70">
      <w:pPr>
        <w:pStyle w:val="20"/>
        <w:bidi w:val="0"/>
        <w:ind w:firstLine="562" w:firstLineChars="200"/>
        <w:rPr>
          <w:rFonts w:hint="default" w:ascii="Times New Roman" w:hAnsi="Times New Roman" w:eastAsia="宋体" w:cs="Times New Roman"/>
          <w:lang w:val="en-US" w:eastAsia="zh-CN"/>
        </w:rPr>
      </w:pPr>
      <w:r>
        <w:rPr>
          <w:rFonts w:hint="eastAsia" w:ascii="Times New Roman" w:hAnsi="Times New Roman" w:eastAsia="宋体" w:cs="Times New Roman"/>
          <w:b/>
          <w:bCs/>
          <w:lang w:val="en-US" w:eastAsia="zh-CN"/>
        </w:rPr>
        <w:t>7</w:t>
      </w:r>
      <w:r>
        <w:rPr>
          <w:rFonts w:hint="eastAsia"/>
          <w:b/>
          <w:bCs/>
          <w:lang w:val="en-US" w:eastAsia="zh-CN"/>
        </w:rPr>
        <w:t xml:space="preserve">  </w:t>
      </w:r>
      <w:r>
        <w:rPr>
          <w:rFonts w:hint="eastAsia" w:ascii="Times New Roman" w:hAnsi="Times New Roman" w:eastAsia="宋体" w:cs="Times New Roman"/>
          <w:lang w:val="en-US" w:eastAsia="zh-CN"/>
        </w:rPr>
        <w:t>逆变器金属外壳、箱体应可靠接地，接地线材质、截面及接地电阻应符合设计及规范要求。</w:t>
      </w:r>
    </w:p>
    <w:p w14:paraId="146F071A">
      <w:pPr>
        <w:pStyle w:val="27"/>
        <w:bidi w:val="0"/>
        <w:outlineLvl w:val="1"/>
      </w:pPr>
      <w:bookmarkStart w:id="51" w:name="_Toc6767"/>
      <w:bookmarkStart w:id="52" w:name="_Toc14264"/>
      <w:bookmarkStart w:id="53" w:name="_Toc721"/>
      <w:r>
        <w:rPr>
          <w:rFonts w:hint="eastAsia"/>
          <w:b/>
          <w:bCs/>
        </w:rPr>
        <w:t>5.</w:t>
      </w:r>
      <w:r>
        <w:rPr>
          <w:rFonts w:hint="eastAsia"/>
          <w:b/>
          <w:bCs/>
          <w:lang w:val="en-US" w:eastAsia="zh-CN"/>
        </w:rPr>
        <w:t xml:space="preserve"> 5  </w:t>
      </w:r>
      <w:r>
        <w:rPr>
          <w:rFonts w:hint="eastAsia"/>
        </w:rPr>
        <w:t>箱式变压器安装</w:t>
      </w:r>
      <w:bookmarkEnd w:id="51"/>
      <w:bookmarkEnd w:id="52"/>
      <w:bookmarkEnd w:id="53"/>
    </w:p>
    <w:p w14:paraId="02A9433C">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5. 5. 1</w:t>
      </w:r>
      <w:r>
        <w:rPr>
          <w:rFonts w:hint="eastAsia"/>
          <w:b/>
          <w:bCs/>
          <w:lang w:val="en-US" w:eastAsia="zh-CN"/>
        </w:rPr>
        <w:t xml:space="preserve">  </w:t>
      </w:r>
      <w:r>
        <w:rPr>
          <w:rFonts w:hint="eastAsia" w:ascii="Times New Roman" w:hAnsi="Times New Roman" w:eastAsia="宋体" w:cs="Times New Roman"/>
          <w:lang w:val="en-US" w:eastAsia="zh-CN"/>
        </w:rPr>
        <w:t>箱式变压器安装位置应预留满足设备运输、吊装要求的作业场地及通道，保证吊车、货车等施工机具可顺利进场作业。</w:t>
      </w:r>
    </w:p>
    <w:p w14:paraId="66B1E693">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5. 5. 2</w:t>
      </w:r>
      <w:r>
        <w:rPr>
          <w:rFonts w:hint="eastAsia"/>
          <w:b/>
          <w:bCs/>
          <w:lang w:val="en-US" w:eastAsia="zh-CN"/>
        </w:rPr>
        <w:t xml:space="preserve">  </w:t>
      </w:r>
      <w:r>
        <w:rPr>
          <w:rFonts w:hint="eastAsia" w:ascii="Times New Roman" w:hAnsi="Times New Roman" w:eastAsia="宋体" w:cs="Times New Roman"/>
          <w:lang w:val="en-US" w:eastAsia="zh-CN"/>
        </w:rPr>
        <w:t>箱式变压器安装前应符合下列要求：</w:t>
      </w:r>
    </w:p>
    <w:p w14:paraId="291C0F26">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混凝土基础应达到允许安装的强度，预埋件及相关构件的质量应符合要求。</w:t>
      </w:r>
    </w:p>
    <w:p w14:paraId="018CD0FF">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检查箱式变压器外观完好，铭牌符合，标志正确、清晰齐全、易于辨别。</w:t>
      </w:r>
    </w:p>
    <w:p w14:paraId="5C90A856">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3</w:t>
      </w:r>
      <w:r>
        <w:rPr>
          <w:rFonts w:hint="eastAsia"/>
          <w:b/>
          <w:bCs/>
          <w:lang w:val="en-US" w:eastAsia="zh-CN"/>
        </w:rPr>
        <w:t xml:space="preserve">  </w:t>
      </w:r>
      <w:r>
        <w:rPr>
          <w:rFonts w:hint="eastAsia" w:ascii="Times New Roman" w:hAnsi="Times New Roman" w:eastAsia="宋体" w:cs="Times New Roman"/>
          <w:lang w:val="en-US" w:eastAsia="zh-CN"/>
        </w:rPr>
        <w:t>检查油箱、散热片是否漏油，所有表计、操作装置的垫片或密封圈否漏油，油位是否正常，高低压室门锁是否完好。</w:t>
      </w:r>
    </w:p>
    <w:p w14:paraId="63AD3B86">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5. 5. 3</w:t>
      </w:r>
      <w:r>
        <w:rPr>
          <w:rFonts w:hint="eastAsia"/>
          <w:b/>
          <w:bCs/>
          <w:lang w:val="en-US" w:eastAsia="zh-CN"/>
        </w:rPr>
        <w:t xml:space="preserve">  </w:t>
      </w:r>
      <w:r>
        <w:rPr>
          <w:rFonts w:hint="eastAsia" w:ascii="Times New Roman" w:hAnsi="Times New Roman" w:eastAsia="宋体" w:cs="Times New Roman"/>
          <w:lang w:val="en-US" w:eastAsia="zh-CN"/>
        </w:rPr>
        <w:t>箱式变压器的安装及验收除应符合现行国家标准《电气装置安装工程 电力变压器、油浸电抗器、互感器施工及验收规范》GB 50148的规定，还应满足下列要求：</w:t>
      </w:r>
    </w:p>
    <w:p w14:paraId="537DA468">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箱式变压器与预埋件间应焊接牢固，焊接处应做防腐处理。</w:t>
      </w:r>
    </w:p>
    <w:p w14:paraId="708C4DA3">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外接端子应可靠连接，符合图纸、工艺文件规定。</w:t>
      </w:r>
    </w:p>
    <w:p w14:paraId="6AD944C8">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3</w:t>
      </w:r>
      <w:r>
        <w:rPr>
          <w:rFonts w:hint="eastAsia"/>
          <w:b/>
          <w:bCs/>
          <w:lang w:val="en-US" w:eastAsia="zh-CN"/>
        </w:rPr>
        <w:t xml:space="preserve">  </w:t>
      </w:r>
      <w:r>
        <w:rPr>
          <w:rFonts w:hint="eastAsia" w:ascii="Times New Roman" w:hAnsi="Times New Roman" w:eastAsia="宋体" w:cs="Times New Roman"/>
          <w:lang w:val="en-US" w:eastAsia="zh-CN"/>
        </w:rPr>
        <w:t>主辅电路接线正确，导线截面、颜色选择正确、牢固可靠，符合设计文件要求。</w:t>
      </w:r>
    </w:p>
    <w:p w14:paraId="2798FBC6">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w:t>
      </w:r>
      <w:r>
        <w:rPr>
          <w:rFonts w:hint="eastAsia"/>
          <w:b/>
          <w:bCs/>
          <w:lang w:val="en-US" w:eastAsia="zh-CN"/>
        </w:rPr>
        <w:t xml:space="preserve">  </w:t>
      </w:r>
      <w:r>
        <w:rPr>
          <w:rFonts w:hint="eastAsia" w:ascii="Times New Roman" w:hAnsi="Times New Roman" w:eastAsia="宋体" w:cs="Times New Roman"/>
          <w:lang w:val="en-US" w:eastAsia="zh-CN"/>
        </w:rPr>
        <w:t>金属结构的搭接，零部件、电器元件的保护接地符合规定要求。</w:t>
      </w:r>
    </w:p>
    <w:p w14:paraId="6BB5D2D0">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w:t>
      </w:r>
      <w:r>
        <w:rPr>
          <w:rFonts w:hint="eastAsia"/>
          <w:b/>
          <w:bCs/>
          <w:lang w:val="en-US" w:eastAsia="zh-CN"/>
        </w:rPr>
        <w:t xml:space="preserve">  </w:t>
      </w:r>
      <w:r>
        <w:rPr>
          <w:rFonts w:hint="eastAsia" w:ascii="Times New Roman" w:hAnsi="Times New Roman" w:eastAsia="宋体" w:cs="Times New Roman"/>
          <w:lang w:val="en-US" w:eastAsia="zh-CN"/>
        </w:rPr>
        <w:t>箱式变压器的接地应直接接入主接地网，接地回路应可靠、安全，接地电阻应满足规范和设计要求。</w:t>
      </w:r>
    </w:p>
    <w:p w14:paraId="485550E3">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w:t>
      </w:r>
      <w:r>
        <w:rPr>
          <w:rFonts w:hint="eastAsia"/>
          <w:b/>
          <w:bCs/>
          <w:lang w:val="en-US" w:eastAsia="zh-CN"/>
        </w:rPr>
        <w:t xml:space="preserve">  </w:t>
      </w:r>
      <w:r>
        <w:rPr>
          <w:rFonts w:hint="eastAsia" w:ascii="Times New Roman" w:hAnsi="Times New Roman" w:eastAsia="宋体" w:cs="Times New Roman"/>
          <w:lang w:val="en-US" w:eastAsia="zh-CN"/>
        </w:rPr>
        <w:t>油箱散热部分应设置合适的防护措施，防止公众意外触及或碰撞破坏。</w:t>
      </w:r>
    </w:p>
    <w:p w14:paraId="368C20FF">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7</w:t>
      </w:r>
      <w:r>
        <w:rPr>
          <w:rFonts w:hint="eastAsia"/>
          <w:b/>
          <w:bCs/>
          <w:lang w:val="en-US" w:eastAsia="zh-CN"/>
        </w:rPr>
        <w:t xml:space="preserve">  </w:t>
      </w:r>
      <w:r>
        <w:rPr>
          <w:rFonts w:hint="eastAsia" w:ascii="Times New Roman" w:hAnsi="Times New Roman" w:eastAsia="宋体" w:cs="Times New Roman"/>
          <w:lang w:val="en-US" w:eastAsia="zh-CN"/>
        </w:rPr>
        <w:t>油箱散热部分应有安全警示标志，油阀处应有防破坏（防盗）装置。</w:t>
      </w:r>
    </w:p>
    <w:p w14:paraId="42C56BAE">
      <w:pPr>
        <w:pStyle w:val="27"/>
        <w:keepNext w:val="0"/>
        <w:keepLines w:val="0"/>
        <w:pageBreakBefore w:val="0"/>
        <w:widowControl w:val="0"/>
        <w:kinsoku/>
        <w:wordWrap/>
        <w:overflowPunct/>
        <w:topLinePunct w:val="0"/>
        <w:autoSpaceDE/>
        <w:autoSpaceDN/>
        <w:bidi w:val="0"/>
        <w:adjustRightInd w:val="0"/>
        <w:snapToGrid w:val="0"/>
        <w:spacing w:line="336" w:lineRule="auto"/>
        <w:textAlignment w:val="auto"/>
        <w:outlineLvl w:val="1"/>
        <w:rPr>
          <w:rFonts w:hint="default" w:eastAsia="黑体"/>
          <w:color w:val="auto"/>
          <w:lang w:val="en-US" w:eastAsia="zh-CN"/>
        </w:rPr>
      </w:pPr>
      <w:bookmarkStart w:id="54" w:name="_Toc5997"/>
      <w:bookmarkStart w:id="55" w:name="_Toc31659"/>
      <w:bookmarkStart w:id="56" w:name="_Toc12807"/>
      <w:bookmarkStart w:id="57" w:name="OLE_LINK2"/>
      <w:r>
        <w:rPr>
          <w:rFonts w:hint="eastAsia"/>
          <w:b/>
          <w:bCs/>
          <w:color w:val="auto"/>
        </w:rPr>
        <w:t>5.</w:t>
      </w:r>
      <w:bookmarkEnd w:id="54"/>
      <w:bookmarkEnd w:id="55"/>
      <w:r>
        <w:rPr>
          <w:rFonts w:hint="eastAsia"/>
          <w:b/>
          <w:bCs/>
          <w:color w:val="auto"/>
          <w:lang w:val="en-US" w:eastAsia="zh-CN"/>
        </w:rPr>
        <w:t xml:space="preserve"> 6</w:t>
      </w:r>
      <w:r>
        <w:rPr>
          <w:rFonts w:hint="eastAsia"/>
          <w:b/>
          <w:bCs/>
          <w:lang w:val="en-US" w:eastAsia="zh-CN"/>
        </w:rPr>
        <w:t xml:space="preserve">  </w:t>
      </w:r>
      <w:r>
        <w:rPr>
          <w:rFonts w:hint="eastAsia"/>
          <w:color w:val="auto"/>
          <w:lang w:val="en-US" w:eastAsia="zh-CN"/>
        </w:rPr>
        <w:t>架空线路及电缆</w:t>
      </w:r>
      <w:bookmarkEnd w:id="56"/>
    </w:p>
    <w:p w14:paraId="25DE4F9B">
      <w:pPr>
        <w:pStyle w:val="20"/>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5. 6. 1</w:t>
      </w:r>
      <w:r>
        <w:rPr>
          <w:rFonts w:hint="eastAsia"/>
          <w:b/>
          <w:bCs/>
          <w:lang w:val="en-US" w:eastAsia="zh-CN"/>
        </w:rPr>
        <w:t xml:space="preserve">  </w:t>
      </w:r>
      <w:r>
        <w:rPr>
          <w:rFonts w:hint="eastAsia" w:ascii="Times New Roman" w:hAnsi="Times New Roman" w:eastAsia="宋体" w:cs="Times New Roman"/>
          <w:lang w:val="en-US" w:eastAsia="zh-CN"/>
        </w:rPr>
        <w:t>架空线路的施工应符合现行国家标准《电气装置安装工程66kV及以下架空电力线路施工及验收规范》GB 50173的规定。</w:t>
      </w:r>
    </w:p>
    <w:p w14:paraId="34C25D7D">
      <w:pPr>
        <w:pStyle w:val="20"/>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5. 6. 2</w:t>
      </w:r>
      <w:r>
        <w:rPr>
          <w:rFonts w:hint="eastAsia"/>
          <w:b/>
          <w:bCs/>
          <w:lang w:val="en-US" w:eastAsia="zh-CN"/>
        </w:rPr>
        <w:t xml:space="preserve">  </w:t>
      </w:r>
      <w:r>
        <w:rPr>
          <w:rFonts w:hint="eastAsia" w:ascii="Times New Roman" w:hAnsi="Times New Roman" w:eastAsia="宋体" w:cs="Times New Roman"/>
          <w:lang w:val="en-US" w:eastAsia="zh-CN"/>
        </w:rPr>
        <w:t>电缆线路的施工应符合现行国家标准《电气装置安装工程电缆线路施工及验收规范》GB 50168的规定。</w:t>
      </w:r>
    </w:p>
    <w:p w14:paraId="2C753F06">
      <w:pPr>
        <w:pStyle w:val="20"/>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default" w:ascii="Times New Roman" w:hAnsi="Times New Roman" w:eastAsia="宋体" w:cs="Times New Roman"/>
          <w:lang w:val="en-US" w:eastAsia="zh-CN"/>
        </w:rPr>
      </w:pPr>
      <w:r>
        <w:rPr>
          <w:rFonts w:hint="eastAsia" w:ascii="Times New Roman" w:hAnsi="Times New Roman" w:eastAsia="宋体" w:cs="Times New Roman"/>
          <w:b/>
          <w:bCs/>
          <w:lang w:val="en-US" w:eastAsia="zh-CN"/>
        </w:rPr>
        <w:t>5. 6. 3</w:t>
      </w:r>
      <w:r>
        <w:rPr>
          <w:rFonts w:hint="eastAsia"/>
          <w:b/>
          <w:bCs/>
          <w:lang w:val="en-US" w:eastAsia="zh-CN"/>
        </w:rPr>
        <w:t xml:space="preserve">  </w:t>
      </w:r>
      <w:r>
        <w:rPr>
          <w:rFonts w:hint="eastAsia" w:ascii="Times New Roman" w:hAnsi="Times New Roman" w:eastAsia="宋体" w:cs="Times New Roman"/>
          <w:lang w:val="en-US" w:eastAsia="zh-CN"/>
        </w:rPr>
        <w:t>电缆沟槽、施工便道临近生态敏感边界区时，施工前应现场复核生态红线、林地保护等边界。</w:t>
      </w:r>
    </w:p>
    <w:p w14:paraId="7EE96DEB">
      <w:pPr>
        <w:pStyle w:val="27"/>
        <w:keepNext w:val="0"/>
        <w:keepLines w:val="0"/>
        <w:pageBreakBefore w:val="0"/>
        <w:widowControl w:val="0"/>
        <w:kinsoku/>
        <w:wordWrap/>
        <w:overflowPunct/>
        <w:topLinePunct w:val="0"/>
        <w:autoSpaceDE/>
        <w:autoSpaceDN/>
        <w:bidi w:val="0"/>
        <w:adjustRightInd w:val="0"/>
        <w:snapToGrid w:val="0"/>
        <w:spacing w:line="336" w:lineRule="auto"/>
        <w:textAlignment w:val="auto"/>
        <w:outlineLvl w:val="1"/>
        <w:rPr>
          <w:rFonts w:hint="eastAsia"/>
          <w:color w:val="auto"/>
          <w:lang w:val="en-US" w:eastAsia="zh-CN"/>
        </w:rPr>
      </w:pPr>
      <w:bookmarkStart w:id="58" w:name="_Toc16676"/>
      <w:r>
        <w:rPr>
          <w:rFonts w:hint="eastAsia"/>
          <w:b/>
          <w:bCs/>
          <w:color w:val="auto"/>
          <w:lang w:val="en-US" w:eastAsia="zh-CN"/>
        </w:rPr>
        <w:t>5. 7</w:t>
      </w:r>
      <w:r>
        <w:rPr>
          <w:rFonts w:hint="eastAsia"/>
          <w:b/>
          <w:bCs/>
          <w:lang w:val="en-US" w:eastAsia="zh-CN"/>
        </w:rPr>
        <w:t xml:space="preserve">  </w:t>
      </w:r>
      <w:r>
        <w:rPr>
          <w:rFonts w:hint="eastAsia"/>
          <w:color w:val="auto"/>
          <w:lang w:val="en-US" w:eastAsia="zh-CN"/>
        </w:rPr>
        <w:t>电气二次系统</w:t>
      </w:r>
      <w:bookmarkEnd w:id="58"/>
    </w:p>
    <w:p w14:paraId="0D9C7A03">
      <w:pPr>
        <w:pStyle w:val="20"/>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default" w:ascii="Times New Roman" w:hAnsi="Times New Roman" w:eastAsia="宋体" w:cs="Times New Roman"/>
          <w:lang w:val="en-US" w:eastAsia="zh-CN"/>
        </w:rPr>
      </w:pPr>
      <w:r>
        <w:rPr>
          <w:rFonts w:hint="eastAsia" w:ascii="Times New Roman" w:hAnsi="Times New Roman" w:eastAsia="宋体" w:cs="Times New Roman"/>
          <w:b/>
          <w:bCs/>
          <w:lang w:val="en-US" w:eastAsia="zh-CN"/>
        </w:rPr>
        <w:t>5. 7. 1</w:t>
      </w:r>
      <w:r>
        <w:rPr>
          <w:rFonts w:hint="eastAsia"/>
          <w:b/>
          <w:bCs/>
          <w:lang w:val="en-US" w:eastAsia="zh-CN"/>
        </w:rPr>
        <w:t xml:space="preserve">  </w:t>
      </w:r>
      <w:r>
        <w:rPr>
          <w:rFonts w:hint="eastAsia" w:ascii="Times New Roman" w:hAnsi="Times New Roman" w:eastAsia="宋体" w:cs="Times New Roman"/>
          <w:lang w:val="en-US" w:eastAsia="zh-CN"/>
        </w:rPr>
        <w:t>电气二次系统安装应符合现行国家标准《光伏发电站施工规范》GB 50794的规定。</w:t>
      </w:r>
    </w:p>
    <w:p w14:paraId="73152487">
      <w:pPr>
        <w:pStyle w:val="20"/>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5. 7. 2</w:t>
      </w:r>
      <w:r>
        <w:rPr>
          <w:rFonts w:hint="eastAsia"/>
          <w:b/>
          <w:bCs/>
          <w:lang w:val="en-US" w:eastAsia="zh-CN"/>
        </w:rPr>
        <w:t xml:space="preserve">  </w:t>
      </w:r>
      <w:r>
        <w:rPr>
          <w:rFonts w:hint="eastAsia" w:ascii="Times New Roman" w:hAnsi="Times New Roman" w:eastAsia="宋体" w:cs="Times New Roman"/>
          <w:lang w:val="en-US" w:eastAsia="zh-CN"/>
        </w:rPr>
        <w:t>光伏区的防火监控设备的安装应符合现行国家标准《光伏发电站施工规范》GB 50794的规定。</w:t>
      </w:r>
    </w:p>
    <w:bookmarkEnd w:id="57"/>
    <w:p w14:paraId="01299133">
      <w:pPr>
        <w:pStyle w:val="27"/>
        <w:keepNext w:val="0"/>
        <w:keepLines w:val="0"/>
        <w:pageBreakBefore w:val="0"/>
        <w:widowControl w:val="0"/>
        <w:kinsoku/>
        <w:wordWrap/>
        <w:overflowPunct/>
        <w:topLinePunct w:val="0"/>
        <w:autoSpaceDE/>
        <w:autoSpaceDN/>
        <w:bidi w:val="0"/>
        <w:adjustRightInd w:val="0"/>
        <w:snapToGrid w:val="0"/>
        <w:spacing w:line="336" w:lineRule="auto"/>
        <w:textAlignment w:val="auto"/>
        <w:outlineLvl w:val="1"/>
        <w:rPr>
          <w:rFonts w:hint="eastAsia"/>
          <w:color w:val="auto"/>
        </w:rPr>
      </w:pPr>
      <w:bookmarkStart w:id="59" w:name="_Toc31627"/>
      <w:bookmarkStart w:id="60" w:name="_Toc2367"/>
      <w:bookmarkStart w:id="61" w:name="_Toc10580"/>
      <w:r>
        <w:rPr>
          <w:rFonts w:hint="eastAsia"/>
          <w:b/>
          <w:bCs/>
          <w:color w:val="auto"/>
        </w:rPr>
        <w:t>5.</w:t>
      </w:r>
      <w:r>
        <w:rPr>
          <w:rFonts w:hint="eastAsia"/>
          <w:b/>
          <w:bCs/>
          <w:color w:val="auto"/>
          <w:lang w:val="en-US" w:eastAsia="zh-CN"/>
        </w:rPr>
        <w:t xml:space="preserve"> 8</w:t>
      </w:r>
      <w:r>
        <w:rPr>
          <w:rFonts w:hint="eastAsia"/>
          <w:b/>
          <w:bCs/>
          <w:lang w:val="en-US" w:eastAsia="zh-CN"/>
        </w:rPr>
        <w:t xml:space="preserve">  </w:t>
      </w:r>
      <w:r>
        <w:rPr>
          <w:rFonts w:hint="eastAsia"/>
          <w:color w:val="auto"/>
        </w:rPr>
        <w:t>防雷与接地</w:t>
      </w:r>
      <w:bookmarkEnd w:id="59"/>
      <w:bookmarkEnd w:id="60"/>
      <w:bookmarkEnd w:id="61"/>
    </w:p>
    <w:p w14:paraId="4C83BF02">
      <w:pPr>
        <w:pStyle w:val="20"/>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5. 8. 1</w:t>
      </w:r>
      <w:r>
        <w:rPr>
          <w:rFonts w:hint="eastAsia"/>
          <w:b/>
          <w:bCs/>
          <w:lang w:val="en-US" w:eastAsia="zh-CN"/>
        </w:rPr>
        <w:t xml:space="preserve">  </w:t>
      </w:r>
      <w:r>
        <w:rPr>
          <w:rFonts w:hint="eastAsia" w:ascii="Times New Roman" w:hAnsi="Times New Roman" w:eastAsia="宋体" w:cs="Times New Roman"/>
          <w:lang w:val="en-US" w:eastAsia="zh-CN"/>
        </w:rPr>
        <w:t>山地光伏电站防雷与接地应满足现行国家标准《光伏发电站施工规范》GB 50794和《电气装置安装工程 接地装置施工及验收规范》GB 50169的规定。</w:t>
      </w:r>
    </w:p>
    <w:p w14:paraId="1EF1E7B1">
      <w:pPr>
        <w:pStyle w:val="20"/>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5. 8. 2</w:t>
      </w:r>
      <w:r>
        <w:rPr>
          <w:rFonts w:hint="eastAsia"/>
          <w:b/>
          <w:bCs/>
          <w:lang w:val="en-US" w:eastAsia="zh-CN"/>
        </w:rPr>
        <w:t xml:space="preserve">  </w:t>
      </w:r>
      <w:r>
        <w:rPr>
          <w:rFonts w:hint="eastAsia" w:ascii="Times New Roman" w:hAnsi="Times New Roman" w:eastAsia="宋体" w:cs="Times New Roman"/>
          <w:lang w:val="en-US" w:eastAsia="zh-CN"/>
        </w:rPr>
        <w:t>山地岩石地区接地电阻难于满足设计要求时，可采取深埋、外引或增加降阻模块等措施。</w:t>
      </w:r>
    </w:p>
    <w:p w14:paraId="53AFC59E">
      <w:pPr>
        <w:pStyle w:val="20"/>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5. 8. 3</w:t>
      </w:r>
      <w:r>
        <w:rPr>
          <w:rFonts w:hint="eastAsia"/>
          <w:b/>
          <w:bCs/>
          <w:lang w:val="en-US" w:eastAsia="zh-CN"/>
        </w:rPr>
        <w:t xml:space="preserve">  </w:t>
      </w:r>
      <w:r>
        <w:rPr>
          <w:rFonts w:hint="eastAsia" w:ascii="Times New Roman" w:hAnsi="Times New Roman" w:eastAsia="宋体" w:cs="Times New Roman"/>
          <w:lang w:val="en-US" w:eastAsia="zh-CN"/>
        </w:rPr>
        <w:t>金属电缆桥架及其支架应可靠接地，全长接地电阻值应符合设计要求。</w:t>
      </w:r>
    </w:p>
    <w:p w14:paraId="0EF3B309">
      <w:pPr>
        <w:pStyle w:val="20"/>
        <w:keepNext w:val="0"/>
        <w:keepLines w:val="0"/>
        <w:pageBreakBefore w:val="0"/>
        <w:widowControl w:val="0"/>
        <w:kinsoku/>
        <w:wordWrap/>
        <w:overflowPunct/>
        <w:topLinePunct w:val="0"/>
        <w:autoSpaceDE/>
        <w:autoSpaceDN/>
        <w:bidi w:val="0"/>
        <w:adjustRightInd w:val="0"/>
        <w:snapToGrid w:val="0"/>
        <w:spacing w:line="336" w:lineRule="auto"/>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5. 8. 4</w:t>
      </w:r>
      <w:r>
        <w:rPr>
          <w:rFonts w:hint="eastAsia"/>
          <w:b/>
          <w:bCs/>
          <w:lang w:val="en-US" w:eastAsia="zh-CN"/>
        </w:rPr>
        <w:t xml:space="preserve">  </w:t>
      </w:r>
      <w:r>
        <w:rPr>
          <w:rFonts w:hint="eastAsia" w:ascii="Times New Roman" w:hAnsi="Times New Roman" w:eastAsia="宋体" w:cs="Times New Roman"/>
          <w:lang w:val="en-US" w:eastAsia="zh-CN"/>
        </w:rPr>
        <w:t>接地电阻测试应在干燥天气进行，测试点应远离接地网，结果应形成记录。</w:t>
      </w:r>
    </w:p>
    <w:p w14:paraId="7692CA4E">
      <w:pPr>
        <w:pStyle w:val="6"/>
        <w:rPr>
          <w:rFonts w:hint="eastAsia"/>
          <w:color w:val="000000" w:themeColor="text1"/>
          <w:sz w:val="28"/>
          <w:szCs w:val="28"/>
          <w:highlight w:val="yellow"/>
          <w:lang w:eastAsia="zh-CN"/>
          <w14:textFill>
            <w14:solidFill>
              <w14:schemeClr w14:val="tx1"/>
            </w14:solidFill>
          </w14:textFill>
        </w:rPr>
      </w:pPr>
    </w:p>
    <w:p w14:paraId="5EA786B6">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pPr>
      <w:bookmarkStart w:id="62" w:name="_Toc2633"/>
      <w:bookmarkStart w:id="63" w:name="_Toc31739"/>
      <w:bookmarkStart w:id="64" w:name="_Toc11656"/>
      <w:r>
        <w:rPr>
          <w:rFonts w:hint="eastAsia"/>
          <w:b/>
          <w:bCs/>
          <w:lang w:val="en-US" w:eastAsia="zh-CN"/>
        </w:rPr>
        <w:t>6</w:t>
      </w:r>
      <w:r>
        <w:rPr>
          <w:rFonts w:hint="eastAsia"/>
          <w:lang w:val="en-US" w:eastAsia="zh-CN"/>
        </w:rPr>
        <w:t xml:space="preserve">  </w:t>
      </w:r>
      <w:r>
        <w:rPr>
          <w:rFonts w:hint="eastAsia"/>
        </w:rPr>
        <w:t>设备及系统调试</w:t>
      </w:r>
      <w:bookmarkEnd w:id="62"/>
      <w:bookmarkEnd w:id="63"/>
      <w:bookmarkEnd w:id="64"/>
    </w:p>
    <w:p w14:paraId="511C6A8F">
      <w:pPr>
        <w:pStyle w:val="27"/>
        <w:bidi w:val="0"/>
        <w:outlineLvl w:val="1"/>
      </w:pPr>
      <w:bookmarkStart w:id="65" w:name="_Toc1869"/>
      <w:bookmarkStart w:id="66" w:name="_Toc29714"/>
      <w:bookmarkStart w:id="67" w:name="_Toc10241"/>
      <w:r>
        <w:rPr>
          <w:rFonts w:hint="eastAsia"/>
          <w:b/>
          <w:bCs/>
        </w:rPr>
        <w:t>6.</w:t>
      </w:r>
      <w:r>
        <w:rPr>
          <w:rFonts w:hint="eastAsia"/>
          <w:b/>
          <w:bCs/>
          <w:lang w:val="en-US" w:eastAsia="zh-CN"/>
        </w:rPr>
        <w:t xml:space="preserve"> </w:t>
      </w:r>
      <w:r>
        <w:rPr>
          <w:rFonts w:hint="eastAsia"/>
          <w:b/>
          <w:bCs/>
        </w:rPr>
        <w:t>1</w:t>
      </w:r>
      <w:r>
        <w:rPr>
          <w:rFonts w:hint="eastAsia"/>
          <w:b/>
          <w:bCs/>
          <w:lang w:val="en-US" w:eastAsia="zh-CN"/>
        </w:rPr>
        <w:t xml:space="preserve">  </w:t>
      </w:r>
      <w:r>
        <w:rPr>
          <w:rFonts w:hint="eastAsia"/>
        </w:rPr>
        <w:t>一般规定</w:t>
      </w:r>
      <w:bookmarkEnd w:id="65"/>
      <w:bookmarkEnd w:id="66"/>
      <w:bookmarkEnd w:id="67"/>
    </w:p>
    <w:p w14:paraId="29439C9F">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6. 1. 1</w:t>
      </w:r>
      <w:r>
        <w:rPr>
          <w:rFonts w:hint="eastAsia"/>
          <w:b/>
          <w:bCs/>
          <w:lang w:val="en-US" w:eastAsia="zh-CN"/>
        </w:rPr>
        <w:t xml:space="preserve">  </w:t>
      </w:r>
      <w:r>
        <w:rPr>
          <w:rFonts w:hint="eastAsia" w:ascii="Times New Roman" w:hAnsi="Times New Roman" w:eastAsia="宋体" w:cs="Times New Roman"/>
          <w:lang w:val="en-US" w:eastAsia="zh-CN"/>
        </w:rPr>
        <w:t>山地光伏电站应在施工安装后进行调试、检测和试运行。</w:t>
      </w:r>
    </w:p>
    <w:p w14:paraId="04562F65">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6. 1. 2</w:t>
      </w:r>
      <w:r>
        <w:rPr>
          <w:rFonts w:hint="eastAsia"/>
          <w:b/>
          <w:bCs/>
          <w:lang w:val="en-US" w:eastAsia="zh-CN"/>
        </w:rPr>
        <w:t xml:space="preserve">  </w:t>
      </w:r>
      <w:r>
        <w:rPr>
          <w:rFonts w:hint="eastAsia" w:ascii="Times New Roman" w:hAnsi="Times New Roman" w:eastAsia="宋体" w:cs="Times New Roman"/>
          <w:lang w:val="en-US" w:eastAsia="zh-CN"/>
        </w:rPr>
        <w:t>调试前，调试单位应编制调试方案，调试方案应报审完毕。</w:t>
      </w:r>
    </w:p>
    <w:p w14:paraId="6F59370C">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6. 1. 3</w:t>
      </w:r>
      <w:r>
        <w:rPr>
          <w:rFonts w:hint="eastAsia"/>
          <w:b/>
          <w:bCs/>
          <w:lang w:val="en-US" w:eastAsia="zh-CN"/>
        </w:rPr>
        <w:t xml:space="preserve">  </w:t>
      </w:r>
      <w:r>
        <w:rPr>
          <w:rFonts w:hint="eastAsia" w:ascii="Times New Roman" w:hAnsi="Times New Roman" w:eastAsia="宋体" w:cs="Times New Roman"/>
          <w:lang w:val="en-US" w:eastAsia="zh-CN"/>
        </w:rPr>
        <w:t>山地光伏电站各电气设备和控制设备都应进行功能调试， 以确保系统正常运行。设备和系统调试前，安装工作应完成并验收合格。</w:t>
      </w:r>
    </w:p>
    <w:p w14:paraId="50BA16C1">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6. 1. 4</w:t>
      </w:r>
      <w:r>
        <w:rPr>
          <w:rFonts w:hint="eastAsia"/>
          <w:b/>
          <w:bCs/>
          <w:lang w:val="en-US" w:eastAsia="zh-CN"/>
        </w:rPr>
        <w:t xml:space="preserve">  </w:t>
      </w:r>
      <w:r>
        <w:rPr>
          <w:rFonts w:hint="eastAsia" w:ascii="Times New Roman" w:hAnsi="Times New Roman" w:eastAsia="宋体" w:cs="Times New Roman"/>
          <w:lang w:val="en-US" w:eastAsia="zh-CN"/>
        </w:rPr>
        <w:t>在调试过程中如发现不合格项，在对系统进行局部调整后，应对电气设备和系统逐项重新调试。</w:t>
      </w:r>
    </w:p>
    <w:p w14:paraId="57562985">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6. 1. 5</w:t>
      </w:r>
      <w:r>
        <w:rPr>
          <w:rFonts w:hint="eastAsia"/>
          <w:b/>
          <w:bCs/>
          <w:lang w:val="en-US" w:eastAsia="zh-CN"/>
        </w:rPr>
        <w:t xml:space="preserve">  </w:t>
      </w:r>
      <w:r>
        <w:rPr>
          <w:rFonts w:hint="eastAsia" w:ascii="Times New Roman" w:hAnsi="Times New Roman" w:eastAsia="宋体" w:cs="Times New Roman"/>
          <w:lang w:val="en-US" w:eastAsia="zh-CN"/>
        </w:rPr>
        <w:t>山地光伏电站进行现场检测、调试时应进行记录，调试记录应齐全、准确。</w:t>
      </w:r>
    </w:p>
    <w:p w14:paraId="3E6E9829">
      <w:pPr>
        <w:pStyle w:val="27"/>
        <w:bidi w:val="0"/>
        <w:outlineLvl w:val="1"/>
      </w:pPr>
      <w:bookmarkStart w:id="68" w:name="_Toc20212"/>
      <w:bookmarkStart w:id="69" w:name="_Toc19122"/>
      <w:bookmarkStart w:id="70" w:name="_Toc1849"/>
      <w:r>
        <w:rPr>
          <w:rFonts w:hint="eastAsia"/>
          <w:b/>
          <w:bCs/>
        </w:rPr>
        <w:t>6.</w:t>
      </w:r>
      <w:r>
        <w:rPr>
          <w:rFonts w:hint="eastAsia"/>
          <w:b/>
          <w:bCs/>
          <w:lang w:val="en-US" w:eastAsia="zh-CN"/>
        </w:rPr>
        <w:t xml:space="preserve"> </w:t>
      </w:r>
      <w:r>
        <w:rPr>
          <w:rFonts w:hint="eastAsia"/>
          <w:b/>
          <w:bCs/>
        </w:rPr>
        <w:t>2</w:t>
      </w:r>
      <w:r>
        <w:rPr>
          <w:rFonts w:hint="eastAsia"/>
          <w:b/>
          <w:bCs/>
          <w:lang w:val="en-US" w:eastAsia="zh-CN"/>
        </w:rPr>
        <w:t xml:space="preserve">  </w:t>
      </w:r>
      <w:r>
        <w:rPr>
          <w:rFonts w:hint="eastAsia"/>
        </w:rPr>
        <w:t>光伏场区调试</w:t>
      </w:r>
      <w:bookmarkEnd w:id="68"/>
      <w:bookmarkEnd w:id="69"/>
      <w:bookmarkEnd w:id="70"/>
    </w:p>
    <w:p w14:paraId="09999ACD">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6. 2. 1</w:t>
      </w:r>
      <w:r>
        <w:rPr>
          <w:rFonts w:hint="eastAsia"/>
          <w:b/>
          <w:bCs/>
          <w:lang w:val="en-US" w:eastAsia="zh-CN"/>
        </w:rPr>
        <w:t xml:space="preserve">  </w:t>
      </w:r>
      <w:r>
        <w:rPr>
          <w:rFonts w:hint="eastAsia" w:ascii="Times New Roman" w:hAnsi="Times New Roman" w:eastAsia="宋体" w:cs="Times New Roman"/>
          <w:lang w:val="en-US" w:eastAsia="zh-CN"/>
        </w:rPr>
        <w:t>光伏组串、逆变器的调试应符合现行国家标准《光伏发电站施工规范》GB 50794的规定。</w:t>
      </w:r>
    </w:p>
    <w:p w14:paraId="205626F9">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6. 2. 2</w:t>
      </w:r>
      <w:r>
        <w:rPr>
          <w:rFonts w:hint="eastAsia"/>
          <w:b/>
          <w:bCs/>
          <w:lang w:val="en-US" w:eastAsia="zh-CN"/>
        </w:rPr>
        <w:t xml:space="preserve">  </w:t>
      </w:r>
      <w:r>
        <w:rPr>
          <w:rFonts w:hint="eastAsia" w:ascii="Times New Roman" w:hAnsi="Times New Roman" w:eastAsia="宋体" w:cs="Times New Roman"/>
          <w:lang w:val="en-US" w:eastAsia="zh-CN"/>
        </w:rPr>
        <w:t>光伏组串应检测直流系统正负极性是否正确，直流系统不应产生内部环路自放电而损坏设备。</w:t>
      </w:r>
    </w:p>
    <w:p w14:paraId="7CD44B24">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6. 2. 3</w:t>
      </w:r>
      <w:r>
        <w:rPr>
          <w:rFonts w:hint="eastAsia"/>
          <w:b/>
          <w:bCs/>
          <w:lang w:val="en-US" w:eastAsia="zh-CN"/>
        </w:rPr>
        <w:t xml:space="preserve">  </w:t>
      </w:r>
      <w:r>
        <w:rPr>
          <w:rFonts w:hint="eastAsia" w:ascii="Times New Roman" w:hAnsi="Times New Roman" w:eastAsia="宋体" w:cs="Times New Roman"/>
          <w:lang w:val="en-US" w:eastAsia="zh-CN"/>
        </w:rPr>
        <w:t>光伏组串绝缘电阻值的检测要求：</w:t>
      </w:r>
    </w:p>
    <w:p w14:paraId="2032518D">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光伏组串绝缘电阻值检测前应确认光伏方阵接线是否正确，防止方阵整体短路。</w:t>
      </w:r>
    </w:p>
    <w:p w14:paraId="7292EF0F">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开始检测前应确保从光伏组串到逆变器的电气连接断开。</w:t>
      </w:r>
    </w:p>
    <w:p w14:paraId="3248A414">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3</w:t>
      </w:r>
      <w:r>
        <w:rPr>
          <w:rFonts w:hint="eastAsia"/>
          <w:b/>
          <w:bCs/>
          <w:lang w:val="en-US" w:eastAsia="zh-CN"/>
        </w:rPr>
        <w:t xml:space="preserve">  </w:t>
      </w:r>
      <w:r>
        <w:rPr>
          <w:rFonts w:hint="eastAsia" w:ascii="Times New Roman" w:hAnsi="Times New Roman" w:eastAsia="宋体" w:cs="Times New Roman"/>
          <w:lang w:val="en-US" w:eastAsia="zh-CN"/>
        </w:rPr>
        <w:t>先测试组串负极对地的绝缘电阻，然后测试组串正极对地的绝缘电阻，其绝缘电阻最小值应满足设计要求。</w:t>
      </w:r>
    </w:p>
    <w:p w14:paraId="6D6F45BD">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6. 2. 4</w:t>
      </w:r>
      <w:r>
        <w:rPr>
          <w:rFonts w:hint="eastAsia"/>
          <w:b/>
          <w:bCs/>
          <w:lang w:val="en-US" w:eastAsia="zh-CN"/>
        </w:rPr>
        <w:t xml:space="preserve">  </w:t>
      </w:r>
      <w:r>
        <w:rPr>
          <w:rFonts w:hint="eastAsia" w:ascii="Times New Roman" w:hAnsi="Times New Roman" w:eastAsia="宋体" w:cs="Times New Roman"/>
          <w:lang w:val="en-US" w:eastAsia="zh-CN"/>
        </w:rPr>
        <w:t>光伏组串的开路电压应分别检测，并与预期值相比较相同测试条件下，相同光伏组串之间的开路电压偏差不应大于2%，且最大偏差不应大于5V。</w:t>
      </w:r>
    </w:p>
    <w:p w14:paraId="60C6CBDE">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6. 2. 5</w:t>
      </w:r>
      <w:r>
        <w:rPr>
          <w:rFonts w:hint="eastAsia"/>
          <w:b/>
          <w:bCs/>
          <w:lang w:val="en-US" w:eastAsia="zh-CN"/>
        </w:rPr>
        <w:t xml:space="preserve">  </w:t>
      </w:r>
      <w:r>
        <w:rPr>
          <w:rFonts w:hint="eastAsia" w:ascii="Times New Roman" w:hAnsi="Times New Roman" w:eastAsia="宋体" w:cs="Times New Roman"/>
          <w:lang w:val="en-US" w:eastAsia="zh-CN"/>
        </w:rPr>
        <w:t>逆变器投入运行前，宜将接入此逆变单元内的所有光伏组串测试完成。</w:t>
      </w:r>
    </w:p>
    <w:p w14:paraId="587C2A6C">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6. 2. 6</w:t>
      </w:r>
      <w:r>
        <w:rPr>
          <w:rFonts w:hint="eastAsia"/>
          <w:b/>
          <w:bCs/>
          <w:lang w:val="en-US" w:eastAsia="zh-CN"/>
        </w:rPr>
        <w:t xml:space="preserve">  </w:t>
      </w:r>
      <w:r>
        <w:rPr>
          <w:rFonts w:hint="eastAsia" w:ascii="Times New Roman" w:hAnsi="Times New Roman" w:eastAsia="宋体" w:cs="Times New Roman"/>
          <w:lang w:val="en-US" w:eastAsia="zh-CN"/>
        </w:rPr>
        <w:t>逆变器直流侧带电、交流侧带电，具备并网条件时，测量交流侧电压值和人机界面显示值之间偏差应在允许范围内，交流侧电压及频率应在逆变器额定范围内，且相序正确。</w:t>
      </w:r>
    </w:p>
    <w:p w14:paraId="617E20C2">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6. 2. 7</w:t>
      </w:r>
      <w:r>
        <w:rPr>
          <w:rFonts w:hint="eastAsia"/>
          <w:b/>
          <w:bCs/>
          <w:lang w:val="en-US" w:eastAsia="zh-CN"/>
        </w:rPr>
        <w:t xml:space="preserve">  </w:t>
      </w:r>
      <w:r>
        <w:rPr>
          <w:rFonts w:hint="eastAsia" w:ascii="Times New Roman" w:hAnsi="Times New Roman" w:eastAsia="宋体" w:cs="Times New Roman"/>
          <w:lang w:val="en-US" w:eastAsia="zh-CN"/>
        </w:rPr>
        <w:t>逆变器的监控功能调试要求如下：</w:t>
      </w:r>
    </w:p>
    <w:p w14:paraId="07B5CF0A">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监控系统的通信地址应正确，通信良好并具有抗干扰能力。</w:t>
      </w:r>
    </w:p>
    <w:p w14:paraId="14258293">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监控系统应实时准确地反映逆变器的运行状态、数据和各种故障信息。</w:t>
      </w:r>
    </w:p>
    <w:p w14:paraId="4B2900C9">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3</w:t>
      </w:r>
      <w:r>
        <w:rPr>
          <w:rFonts w:hint="eastAsia"/>
          <w:b/>
          <w:bCs/>
          <w:lang w:val="en-US" w:eastAsia="zh-CN"/>
        </w:rPr>
        <w:t xml:space="preserve">  </w:t>
      </w:r>
      <w:r>
        <w:rPr>
          <w:rFonts w:hint="eastAsia" w:ascii="Times New Roman" w:hAnsi="Times New Roman" w:eastAsia="宋体" w:cs="Times New Roman"/>
          <w:lang w:val="en-US" w:eastAsia="zh-CN"/>
        </w:rPr>
        <w:t xml:space="preserve">具备远方启、停及调整有功输出功能的逆变器，应实时响应远方操作，动作准确可靠。 </w:t>
      </w:r>
    </w:p>
    <w:p w14:paraId="6FD2FB84">
      <w:pPr>
        <w:pStyle w:val="27"/>
        <w:bidi w:val="0"/>
        <w:outlineLvl w:val="1"/>
        <w:rPr>
          <w:rFonts w:hint="eastAsia"/>
        </w:rPr>
      </w:pPr>
      <w:bookmarkStart w:id="71" w:name="_Toc2683"/>
      <w:bookmarkStart w:id="72" w:name="_Toc21564"/>
      <w:bookmarkStart w:id="73" w:name="_Toc15051"/>
      <w:r>
        <w:rPr>
          <w:rFonts w:hint="eastAsia"/>
          <w:b/>
          <w:bCs/>
        </w:rPr>
        <w:t>6.</w:t>
      </w:r>
      <w:r>
        <w:rPr>
          <w:rFonts w:hint="eastAsia"/>
          <w:b/>
          <w:bCs/>
          <w:lang w:val="en-US" w:eastAsia="zh-CN"/>
        </w:rPr>
        <w:t xml:space="preserve"> </w:t>
      </w:r>
      <w:r>
        <w:rPr>
          <w:rFonts w:hint="eastAsia"/>
          <w:b/>
          <w:bCs/>
        </w:rPr>
        <w:t>3</w:t>
      </w:r>
      <w:r>
        <w:rPr>
          <w:rFonts w:hint="eastAsia"/>
          <w:b/>
          <w:bCs/>
          <w:lang w:val="en-US" w:eastAsia="zh-CN"/>
        </w:rPr>
        <w:t xml:space="preserve">  </w:t>
      </w:r>
      <w:r>
        <w:rPr>
          <w:rFonts w:hint="eastAsia"/>
        </w:rPr>
        <w:t>二次系统调试</w:t>
      </w:r>
      <w:bookmarkEnd w:id="71"/>
      <w:bookmarkEnd w:id="72"/>
      <w:bookmarkEnd w:id="73"/>
    </w:p>
    <w:p w14:paraId="00A5516F">
      <w:pPr>
        <w:pStyle w:val="4"/>
        <w:rPr>
          <w:rFonts w:hint="eastAsia"/>
        </w:rPr>
      </w:pPr>
    </w:p>
    <w:p w14:paraId="4D62F0A4">
      <w:pPr>
        <w:pStyle w:val="20"/>
        <w:bidi w:val="0"/>
        <w:rPr>
          <w:rFonts w:hint="default" w:ascii="Times New Roman" w:hAnsi="Times New Roman" w:eastAsia="宋体" w:cs="Times New Roman"/>
          <w:lang w:val="en-US" w:eastAsia="zh-CN"/>
        </w:rPr>
      </w:pPr>
      <w:r>
        <w:rPr>
          <w:rFonts w:hint="eastAsia" w:ascii="Times New Roman" w:hAnsi="Times New Roman" w:eastAsia="宋体" w:cs="Times New Roman"/>
          <w:b/>
          <w:bCs/>
          <w:lang w:val="en-US" w:eastAsia="zh-CN"/>
        </w:rPr>
        <w:t>6. 3. 1</w:t>
      </w:r>
      <w:r>
        <w:rPr>
          <w:rFonts w:hint="eastAsia"/>
          <w:b/>
          <w:bCs/>
          <w:lang w:val="en-US" w:eastAsia="zh-CN"/>
        </w:rPr>
        <w:t xml:space="preserve">  </w:t>
      </w:r>
      <w:r>
        <w:rPr>
          <w:rFonts w:hint="eastAsia" w:ascii="Times New Roman" w:hAnsi="Times New Roman" w:eastAsia="宋体" w:cs="Times New Roman"/>
          <w:lang w:val="en-US" w:eastAsia="zh-CN"/>
        </w:rPr>
        <w:t>二次系统调试除应满足现行国家标准《光伏发电站施工规范》GB 50794的规定外，自动化、网安、继电保护、通信、电能量采集、交直流电源系统等还应</w:t>
      </w:r>
      <w:r>
        <w:rPr>
          <w:rFonts w:hint="default" w:ascii="Times New Roman" w:hAnsi="Times New Roman" w:eastAsia="宋体" w:cs="Times New Roman"/>
          <w:lang w:val="en-US" w:eastAsia="zh-CN"/>
        </w:rPr>
        <w:t>满足当地电网调度部门的要求</w:t>
      </w:r>
      <w:r>
        <w:rPr>
          <w:rFonts w:hint="eastAsia" w:ascii="Times New Roman" w:hAnsi="Times New Roman" w:eastAsia="宋体" w:cs="Times New Roman"/>
          <w:lang w:val="en-US" w:eastAsia="zh-CN"/>
        </w:rPr>
        <w:t>。</w:t>
      </w:r>
    </w:p>
    <w:p w14:paraId="397F27EE">
      <w:pPr>
        <w:pStyle w:val="27"/>
        <w:bidi w:val="0"/>
        <w:outlineLvl w:val="1"/>
      </w:pPr>
      <w:bookmarkStart w:id="74" w:name="_Toc9329"/>
      <w:bookmarkStart w:id="75" w:name="_Toc30339"/>
      <w:bookmarkStart w:id="76" w:name="_Toc32728"/>
      <w:r>
        <w:rPr>
          <w:rFonts w:hint="eastAsia"/>
          <w:b/>
          <w:bCs/>
        </w:rPr>
        <w:t>6.</w:t>
      </w:r>
      <w:r>
        <w:rPr>
          <w:rFonts w:hint="eastAsia"/>
          <w:b/>
          <w:bCs/>
          <w:lang w:val="en-US" w:eastAsia="zh-CN"/>
        </w:rPr>
        <w:t xml:space="preserve"> </w:t>
      </w:r>
      <w:r>
        <w:rPr>
          <w:rFonts w:hint="eastAsia"/>
          <w:b/>
          <w:bCs/>
        </w:rPr>
        <w:t>4</w:t>
      </w:r>
      <w:r>
        <w:rPr>
          <w:rFonts w:hint="eastAsia"/>
          <w:b/>
          <w:bCs/>
          <w:lang w:val="en-US" w:eastAsia="zh-CN"/>
        </w:rPr>
        <w:t xml:space="preserve">  </w:t>
      </w:r>
      <w:r>
        <w:rPr>
          <w:rFonts w:hint="eastAsia"/>
        </w:rPr>
        <w:t>其他电气设备调试</w:t>
      </w:r>
      <w:bookmarkEnd w:id="74"/>
      <w:bookmarkEnd w:id="75"/>
      <w:bookmarkEnd w:id="76"/>
    </w:p>
    <w:p w14:paraId="2766F650">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6. 4. 1</w:t>
      </w:r>
      <w:r>
        <w:rPr>
          <w:rFonts w:hint="eastAsia"/>
          <w:b/>
          <w:bCs/>
          <w:lang w:val="en-US" w:eastAsia="zh-CN"/>
        </w:rPr>
        <w:t xml:space="preserve">  </w:t>
      </w:r>
      <w:r>
        <w:rPr>
          <w:rFonts w:hint="eastAsia" w:ascii="Times New Roman" w:hAnsi="Times New Roman" w:eastAsia="宋体" w:cs="Times New Roman"/>
          <w:lang w:val="en-US" w:eastAsia="zh-CN"/>
        </w:rPr>
        <w:t>其他电气设备的试验标准应符合现行国家标准《电气装置安装工程  电气设备交接试验标准》GB 50150的相关规定。</w:t>
      </w:r>
    </w:p>
    <w:p w14:paraId="185642FA">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6. 4. 2</w:t>
      </w:r>
      <w:r>
        <w:rPr>
          <w:rFonts w:hint="eastAsia"/>
          <w:b/>
          <w:bCs/>
          <w:lang w:val="en-US" w:eastAsia="zh-CN"/>
        </w:rPr>
        <w:t xml:space="preserve">  </w:t>
      </w:r>
      <w:r>
        <w:rPr>
          <w:rFonts w:hint="eastAsia" w:ascii="Times New Roman" w:hAnsi="Times New Roman" w:eastAsia="宋体" w:cs="Times New Roman"/>
          <w:lang w:val="en-US" w:eastAsia="zh-CN"/>
        </w:rPr>
        <w:t>无功补偿装置的补偿功能应能满足设计文件的技术要求。</w:t>
      </w:r>
    </w:p>
    <w:p w14:paraId="1F9FC7A5">
      <w:pPr>
        <w:pageBreakBefore w:val="0"/>
        <w:overflowPunct/>
        <w:topLinePunct w:val="0"/>
        <w:bidi w:val="0"/>
        <w:rPr>
          <w:rFonts w:hint="eastAsia"/>
          <w:sz w:val="28"/>
          <w:szCs w:val="28"/>
        </w:rPr>
      </w:pPr>
    </w:p>
    <w:p w14:paraId="3D5EFD34">
      <w:pPr>
        <w:pageBreakBefore w:val="0"/>
        <w:overflowPunct/>
        <w:topLinePunct w:val="0"/>
        <w:bidi w:val="0"/>
        <w:rPr>
          <w:rFonts w:hint="eastAsia"/>
          <w:sz w:val="28"/>
          <w:szCs w:val="28"/>
        </w:rPr>
      </w:pPr>
    </w:p>
    <w:p w14:paraId="4B08258B">
      <w:pPr>
        <w:pageBreakBefore w:val="0"/>
        <w:overflowPunct/>
        <w:topLinePunct w:val="0"/>
        <w:bidi w:val="0"/>
        <w:rPr>
          <w:rFonts w:hint="eastAsia"/>
          <w:sz w:val="28"/>
          <w:szCs w:val="28"/>
        </w:rPr>
      </w:pPr>
    </w:p>
    <w:p w14:paraId="0EB8011B">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rPr>
          <w:rFonts w:hint="eastAsia"/>
        </w:rPr>
      </w:pPr>
      <w:bookmarkStart w:id="77" w:name="_Toc10112"/>
      <w:r>
        <w:rPr>
          <w:rFonts w:hint="eastAsia"/>
          <w:b/>
          <w:bCs/>
          <w:lang w:val="en-US" w:eastAsia="zh-CN"/>
        </w:rPr>
        <w:t>7</w:t>
      </w:r>
      <w:r>
        <w:rPr>
          <w:rFonts w:hint="eastAsia"/>
          <w:lang w:val="en-US" w:eastAsia="zh-CN"/>
        </w:rPr>
        <w:t xml:space="preserve">  </w:t>
      </w:r>
      <w:r>
        <w:rPr>
          <w:rFonts w:hint="eastAsia"/>
        </w:rPr>
        <w:t>消防工程</w:t>
      </w:r>
      <w:bookmarkEnd w:id="77"/>
    </w:p>
    <w:p w14:paraId="64CB7C5C">
      <w:pPr>
        <w:pStyle w:val="27"/>
        <w:bidi w:val="0"/>
        <w:outlineLvl w:val="1"/>
        <w:rPr>
          <w:rFonts w:hint="eastAsia"/>
        </w:rPr>
      </w:pPr>
      <w:bookmarkStart w:id="78" w:name="_Toc3982"/>
      <w:r>
        <w:rPr>
          <w:rFonts w:hint="eastAsia"/>
          <w:b/>
          <w:bCs/>
        </w:rPr>
        <w:t>7.</w:t>
      </w:r>
      <w:r>
        <w:rPr>
          <w:rFonts w:hint="eastAsia"/>
          <w:b/>
          <w:bCs/>
          <w:lang w:val="en-US" w:eastAsia="zh-CN"/>
        </w:rPr>
        <w:t xml:space="preserve"> </w:t>
      </w:r>
      <w:r>
        <w:rPr>
          <w:rFonts w:hint="eastAsia"/>
          <w:b/>
          <w:bCs/>
        </w:rPr>
        <w:t>1</w:t>
      </w:r>
      <w:r>
        <w:rPr>
          <w:rFonts w:hint="eastAsia"/>
          <w:b/>
          <w:bCs/>
          <w:lang w:val="en-US" w:eastAsia="zh-CN"/>
        </w:rPr>
        <w:t xml:space="preserve">  </w:t>
      </w:r>
      <w:r>
        <w:rPr>
          <w:rFonts w:hint="eastAsia"/>
        </w:rPr>
        <w:t>一般规定</w:t>
      </w:r>
      <w:bookmarkEnd w:id="78"/>
    </w:p>
    <w:p w14:paraId="5197037D">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7. 1. 1</w:t>
      </w:r>
      <w:r>
        <w:rPr>
          <w:rFonts w:hint="eastAsia"/>
          <w:b/>
          <w:bCs/>
          <w:lang w:val="en-US" w:eastAsia="zh-CN"/>
        </w:rPr>
        <w:t xml:space="preserve">  </w:t>
      </w:r>
      <w:r>
        <w:rPr>
          <w:rFonts w:hint="eastAsia" w:ascii="Times New Roman" w:hAnsi="Times New Roman" w:eastAsia="宋体" w:cs="Times New Roman"/>
          <w:lang w:val="en-US" w:eastAsia="zh-CN"/>
        </w:rPr>
        <w:t>消防工程应由具备相应等级的消防设施工程施工资质的单位承担，项目负责人及其主要的技术负责人应具备相应的管理或技术等级资格，且应熟悉山地光伏电站地形特点及防火施工要求。</w:t>
      </w:r>
    </w:p>
    <w:p w14:paraId="3780B2D5">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7. 1. 2</w:t>
      </w:r>
      <w:r>
        <w:rPr>
          <w:rFonts w:hint="eastAsia"/>
          <w:b/>
          <w:bCs/>
          <w:lang w:val="en-US" w:eastAsia="zh-CN"/>
        </w:rPr>
        <w:t xml:space="preserve">  </w:t>
      </w:r>
      <w:r>
        <w:rPr>
          <w:rFonts w:hint="eastAsia" w:ascii="Times New Roman" w:hAnsi="Times New Roman" w:eastAsia="宋体" w:cs="Times New Roman"/>
          <w:lang w:val="en-US" w:eastAsia="zh-CN"/>
        </w:rPr>
        <w:t>消防工程必须与主体工程同时设计、同时施工、同时投入生产和使用。消防设计文件应依法通过审查。消防工程施工前应具备下列条件：</w:t>
      </w:r>
    </w:p>
    <w:p w14:paraId="02EB4F49">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施工图纸应报当地住房和城乡建设主管部门备案。</w:t>
      </w:r>
    </w:p>
    <w:p w14:paraId="6D020EF7">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消防设备和器材的合格证及检测报告应齐全，且应通过设备、材料报验工作。</w:t>
      </w:r>
    </w:p>
    <w:p w14:paraId="465B750E">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7. 1. 3</w:t>
      </w:r>
      <w:r>
        <w:rPr>
          <w:rFonts w:hint="eastAsia"/>
          <w:b/>
          <w:bCs/>
          <w:lang w:val="en-US" w:eastAsia="zh-CN"/>
        </w:rPr>
        <w:t xml:space="preserve">  </w:t>
      </w:r>
      <w:r>
        <w:rPr>
          <w:rFonts w:hint="eastAsia" w:ascii="Times New Roman" w:hAnsi="Times New Roman" w:eastAsia="宋体" w:cs="Times New Roman"/>
          <w:lang w:val="en-US" w:eastAsia="zh-CN"/>
        </w:rPr>
        <w:t>项目完工后，建设单位应组织施工、监理、设计和运行单位、主管部门进行消防验收；消防验收后5个工作日内备案。</w:t>
      </w:r>
    </w:p>
    <w:p w14:paraId="64043042">
      <w:pPr>
        <w:pStyle w:val="27"/>
        <w:bidi w:val="0"/>
        <w:outlineLvl w:val="1"/>
        <w:rPr>
          <w:rFonts w:hint="eastAsia"/>
        </w:rPr>
      </w:pPr>
      <w:bookmarkStart w:id="79" w:name="_Toc12290"/>
      <w:r>
        <w:rPr>
          <w:rFonts w:hint="eastAsia"/>
          <w:b/>
          <w:bCs/>
        </w:rPr>
        <w:t>7.</w:t>
      </w:r>
      <w:r>
        <w:rPr>
          <w:rFonts w:hint="eastAsia"/>
          <w:b/>
          <w:bCs/>
          <w:lang w:val="en-US" w:eastAsia="zh-CN"/>
        </w:rPr>
        <w:t xml:space="preserve"> </w:t>
      </w:r>
      <w:r>
        <w:rPr>
          <w:rFonts w:hint="eastAsia"/>
          <w:b/>
          <w:bCs/>
        </w:rPr>
        <w:t>2</w:t>
      </w:r>
      <w:r>
        <w:rPr>
          <w:rFonts w:hint="eastAsia"/>
          <w:b/>
          <w:bCs/>
          <w:lang w:val="en-US" w:eastAsia="zh-CN"/>
        </w:rPr>
        <w:t xml:space="preserve">  </w:t>
      </w:r>
      <w:r>
        <w:rPr>
          <w:rFonts w:hint="eastAsia"/>
        </w:rPr>
        <w:t>火灾自动报警系统</w:t>
      </w:r>
      <w:bookmarkEnd w:id="79"/>
    </w:p>
    <w:p w14:paraId="653C4938">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7. 2. 1</w:t>
      </w:r>
      <w:r>
        <w:rPr>
          <w:rFonts w:hint="eastAsia"/>
          <w:b/>
          <w:bCs/>
          <w:lang w:val="en-US" w:eastAsia="zh-CN"/>
        </w:rPr>
        <w:t xml:space="preserve">  </w:t>
      </w:r>
      <w:r>
        <w:rPr>
          <w:rFonts w:hint="eastAsia" w:ascii="Times New Roman" w:hAnsi="Times New Roman" w:eastAsia="宋体" w:cs="Times New Roman"/>
          <w:lang w:val="en-US" w:eastAsia="zh-CN"/>
        </w:rPr>
        <w:t>火灾自动报警系统除应符合现行国家标准《火灾自动报警系统施工及验收标准》GB 50166的规定外，还应符合下列规定：</w:t>
      </w:r>
    </w:p>
    <w:p w14:paraId="47AD3ED7">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各光伏方阵、升压站、预制舱等区域均应安装火灾监测报警系统，系统应兼容烟感、温感、红外火焰探测功能，林草覆盖密集区域及陡坡方阵宜加密红外火焰探测器布设，探测范围宜完全覆盖方阵及周边林草区域；</w:t>
      </w:r>
    </w:p>
    <w:p w14:paraId="4E25E2FD">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针对云南山地光伏电站区域分散、林火易蔓延的特点，火灾自动报警系统宜与消防应急广播、应急照明系统联动，施工时应明确联动逻辑，完成调试记录存档。</w:t>
      </w:r>
    </w:p>
    <w:p w14:paraId="642458B1">
      <w:pPr>
        <w:pStyle w:val="20"/>
        <w:bidi w:val="0"/>
        <w:rPr>
          <w:rFonts w:hint="eastAsia" w:ascii="Times New Roman" w:hAnsi="Times New Roman" w:eastAsia="宋体" w:cs="Times New Roman"/>
          <w:lang w:val="en-US" w:eastAsia="zh-CN"/>
        </w:rPr>
      </w:pPr>
    </w:p>
    <w:p w14:paraId="6E28CE84">
      <w:pPr>
        <w:pStyle w:val="20"/>
        <w:bidi w:val="0"/>
        <w:rPr>
          <w:rFonts w:hint="eastAsia" w:ascii="Times New Roman" w:hAnsi="Times New Roman" w:eastAsia="宋体" w:cs="Times New Roman"/>
          <w:lang w:val="en-US" w:eastAsia="zh-CN"/>
        </w:rPr>
      </w:pPr>
    </w:p>
    <w:p w14:paraId="3D649C6B">
      <w:pPr>
        <w:pStyle w:val="27"/>
        <w:bidi w:val="0"/>
        <w:outlineLvl w:val="1"/>
        <w:rPr>
          <w:rFonts w:hint="eastAsia" w:ascii="Times New Roman" w:hAnsi="Times New Roman" w:eastAsia="黑体" w:cstheme="minorBidi"/>
          <w:kern w:val="2"/>
          <w:sz w:val="30"/>
          <w:szCs w:val="24"/>
          <w:lang w:val="en-US" w:eastAsia="zh-CN" w:bidi="ar-SA"/>
        </w:rPr>
      </w:pPr>
      <w:bookmarkStart w:id="80" w:name="_Toc10176"/>
      <w:r>
        <w:rPr>
          <w:rFonts w:hint="eastAsia" w:ascii="Times New Roman" w:hAnsi="Times New Roman" w:eastAsia="黑体" w:cstheme="minorBidi"/>
          <w:b/>
          <w:bCs/>
          <w:kern w:val="2"/>
          <w:sz w:val="30"/>
          <w:szCs w:val="24"/>
          <w:lang w:val="en-US" w:eastAsia="zh-CN" w:bidi="ar-SA"/>
        </w:rPr>
        <w:t>7.</w:t>
      </w:r>
      <w:r>
        <w:rPr>
          <w:rFonts w:hint="eastAsia" w:ascii="Times New Roman" w:hAnsi="Times New Roman" w:cstheme="minorBidi"/>
          <w:b/>
          <w:bCs/>
          <w:kern w:val="2"/>
          <w:sz w:val="30"/>
          <w:szCs w:val="24"/>
          <w:lang w:val="en-US" w:eastAsia="zh-CN" w:bidi="ar-SA"/>
        </w:rPr>
        <w:t xml:space="preserve"> </w:t>
      </w:r>
      <w:r>
        <w:rPr>
          <w:rFonts w:hint="eastAsia" w:ascii="Times New Roman" w:hAnsi="Times New Roman" w:eastAsia="黑体" w:cstheme="minorBidi"/>
          <w:b/>
          <w:bCs/>
          <w:kern w:val="2"/>
          <w:sz w:val="30"/>
          <w:szCs w:val="24"/>
          <w:lang w:val="en-US" w:eastAsia="zh-CN" w:bidi="ar-SA"/>
        </w:rPr>
        <w:t>3</w:t>
      </w:r>
      <w:r>
        <w:rPr>
          <w:rFonts w:hint="eastAsia"/>
          <w:b/>
          <w:bCs/>
          <w:lang w:val="en-US" w:eastAsia="zh-CN"/>
        </w:rPr>
        <w:t xml:space="preserve">  </w:t>
      </w:r>
      <w:r>
        <w:rPr>
          <w:rFonts w:hint="eastAsia" w:ascii="Times New Roman" w:hAnsi="Times New Roman" w:eastAsia="黑体" w:cstheme="minorBidi"/>
          <w:kern w:val="2"/>
          <w:sz w:val="30"/>
          <w:szCs w:val="24"/>
          <w:lang w:val="en-US" w:eastAsia="zh-CN" w:bidi="ar-SA"/>
        </w:rPr>
        <w:t>消防给水及灭火系统</w:t>
      </w:r>
      <w:bookmarkEnd w:id="80"/>
    </w:p>
    <w:p w14:paraId="64E8BDB7">
      <w:pPr>
        <w:pStyle w:val="20"/>
        <w:bidi w:val="0"/>
        <w:rPr>
          <w:rFonts w:hint="default" w:ascii="Times New Roman" w:hAnsi="Times New Roman" w:eastAsia="宋体" w:cs="Times New Roman"/>
          <w:lang w:val="en-US" w:eastAsia="zh-CN"/>
        </w:rPr>
      </w:pPr>
      <w:r>
        <w:rPr>
          <w:rFonts w:hint="default" w:ascii="Times New Roman" w:hAnsi="Times New Roman" w:eastAsia="宋体" w:cs="Times New Roman"/>
          <w:b/>
          <w:bCs/>
          <w:lang w:val="en-US" w:eastAsia="zh-CN"/>
        </w:rPr>
        <w:t>7.</w:t>
      </w:r>
      <w:r>
        <w:rPr>
          <w:rFonts w:hint="eastAsia" w:ascii="Times New Roman" w:hAnsi="Times New Roman" w:eastAsia="宋体" w:cs="Times New Roman"/>
          <w:b/>
          <w:bCs/>
          <w:lang w:val="en-US" w:eastAsia="zh-CN"/>
        </w:rPr>
        <w:t xml:space="preserve"> </w:t>
      </w:r>
      <w:r>
        <w:rPr>
          <w:rFonts w:hint="default" w:ascii="Times New Roman" w:hAnsi="Times New Roman" w:eastAsia="宋体" w:cs="Times New Roman"/>
          <w:b/>
          <w:bCs/>
          <w:lang w:val="en-US" w:eastAsia="zh-CN"/>
        </w:rPr>
        <w:t>3.</w:t>
      </w:r>
      <w:r>
        <w:rPr>
          <w:rFonts w:hint="eastAsia" w:ascii="Times New Roman" w:hAnsi="Times New Roman" w:eastAsia="宋体" w:cs="Times New Roman"/>
          <w:b/>
          <w:bCs/>
          <w:lang w:val="en-US" w:eastAsia="zh-CN"/>
        </w:rPr>
        <w:t xml:space="preserve"> </w:t>
      </w:r>
      <w:r>
        <w:rPr>
          <w:rFonts w:hint="default" w:ascii="Times New Roman" w:hAnsi="Times New Roman" w:eastAsia="宋体" w:cs="Times New Roman"/>
          <w:b/>
          <w:bCs/>
          <w:lang w:val="en-US" w:eastAsia="zh-CN"/>
        </w:rPr>
        <w:t>1</w:t>
      </w:r>
      <w:r>
        <w:rPr>
          <w:rFonts w:hint="eastAsia"/>
          <w:b/>
          <w:bCs/>
          <w:lang w:val="en-US" w:eastAsia="zh-CN"/>
        </w:rPr>
        <w:t xml:space="preserve">  </w:t>
      </w:r>
      <w:r>
        <w:rPr>
          <w:rFonts w:hint="default" w:ascii="Times New Roman" w:hAnsi="Times New Roman" w:eastAsia="宋体" w:cs="Times New Roman"/>
          <w:lang w:val="en-US" w:eastAsia="zh-CN"/>
        </w:rPr>
        <w:t>光伏电站应根据规模、布置及山地条件设置消防给水或固定灭火系统，</w:t>
      </w:r>
      <w:r>
        <w:rPr>
          <w:rFonts w:hint="eastAsia" w:ascii="Times New Roman" w:hAnsi="Times New Roman" w:eastAsia="宋体" w:cs="Times New Roman"/>
          <w:lang w:val="en-US" w:eastAsia="zh-CN"/>
        </w:rPr>
        <w:t>且应符合现行国家标准《电气装置安装工程 接地装置施工及验收规范》GB 50169</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《建筑防火通用规范》</w:t>
      </w:r>
      <w:r>
        <w:rPr>
          <w:rFonts w:hint="default" w:ascii="Times New Roman" w:hAnsi="Times New Roman" w:eastAsia="宋体" w:cs="Times New Roman"/>
          <w:lang w:val="en-US" w:eastAsia="zh-CN"/>
        </w:rPr>
        <w:t>GB 55037</w:t>
      </w:r>
      <w:r>
        <w:rPr>
          <w:rFonts w:hint="eastAsia" w:ascii="Times New Roman" w:hAnsi="Times New Roman" w:eastAsia="宋体" w:cs="Times New Roman"/>
          <w:lang w:val="en-US" w:eastAsia="zh-CN"/>
        </w:rPr>
        <w:t>和《光伏发电站设计标准》</w:t>
      </w:r>
      <w:r>
        <w:rPr>
          <w:rFonts w:hint="default" w:ascii="Times New Roman" w:hAnsi="Times New Roman" w:eastAsia="宋体" w:cs="Times New Roman"/>
          <w:lang w:val="en-US" w:eastAsia="zh-CN"/>
        </w:rPr>
        <w:t>GB 50797</w:t>
      </w:r>
      <w:r>
        <w:rPr>
          <w:rFonts w:hint="eastAsia" w:ascii="Times New Roman" w:hAnsi="Times New Roman" w:eastAsia="宋体" w:cs="Times New Roman"/>
          <w:lang w:val="en-US" w:eastAsia="zh-CN"/>
        </w:rPr>
        <w:t>的规定</w:t>
      </w:r>
      <w:r>
        <w:rPr>
          <w:rFonts w:hint="default" w:ascii="Times New Roman" w:hAnsi="Times New Roman" w:eastAsia="宋体" w:cs="Times New Roman"/>
          <w:lang w:val="en-US" w:eastAsia="zh-CN"/>
        </w:rPr>
        <w:t>。</w:t>
      </w:r>
    </w:p>
    <w:p w14:paraId="77CE0F75">
      <w:pPr>
        <w:pStyle w:val="20"/>
        <w:bidi w:val="0"/>
        <w:rPr>
          <w:rFonts w:hint="default" w:ascii="Times New Roman" w:hAnsi="Times New Roman" w:eastAsia="宋体" w:cs="Times New Roman"/>
          <w:lang w:val="en-US" w:eastAsia="zh-CN"/>
        </w:rPr>
      </w:pPr>
      <w:r>
        <w:rPr>
          <w:rFonts w:hint="default" w:ascii="Times New Roman" w:hAnsi="Times New Roman" w:eastAsia="宋体" w:cs="Times New Roman"/>
          <w:b/>
          <w:bCs/>
          <w:lang w:val="en-US" w:eastAsia="zh-CN"/>
        </w:rPr>
        <w:t>7.</w:t>
      </w:r>
      <w:r>
        <w:rPr>
          <w:rFonts w:hint="eastAsia" w:ascii="Times New Roman" w:hAnsi="Times New Roman" w:eastAsia="宋体" w:cs="Times New Roman"/>
          <w:b/>
          <w:bCs/>
          <w:lang w:val="en-US" w:eastAsia="zh-CN"/>
        </w:rPr>
        <w:t xml:space="preserve"> </w:t>
      </w:r>
      <w:r>
        <w:rPr>
          <w:rFonts w:hint="default" w:ascii="Times New Roman" w:hAnsi="Times New Roman" w:eastAsia="宋体" w:cs="Times New Roman"/>
          <w:b/>
          <w:bCs/>
          <w:lang w:val="en-US" w:eastAsia="zh-CN"/>
        </w:rPr>
        <w:t>3.</w:t>
      </w:r>
      <w:r>
        <w:rPr>
          <w:rFonts w:hint="eastAsia" w:ascii="Times New Roman" w:hAnsi="Times New Roman" w:eastAsia="宋体" w:cs="Times New Roman"/>
          <w:b/>
          <w:bCs/>
          <w:lang w:val="en-US" w:eastAsia="zh-CN"/>
        </w:rPr>
        <w:t xml:space="preserve"> </w:t>
      </w:r>
      <w:r>
        <w:rPr>
          <w:rFonts w:hint="default" w:ascii="Times New Roman" w:hAnsi="Times New Roman" w:eastAsia="宋体" w:cs="Times New Roman"/>
          <w:b/>
          <w:bCs/>
          <w:lang w:val="en-US" w:eastAsia="zh-CN"/>
        </w:rPr>
        <w:t>2</w:t>
      </w:r>
      <w:r>
        <w:rPr>
          <w:rFonts w:hint="eastAsia"/>
          <w:b/>
          <w:bCs/>
          <w:lang w:val="en-US" w:eastAsia="zh-CN"/>
        </w:rPr>
        <w:t xml:space="preserve">  </w:t>
      </w:r>
      <w:r>
        <w:rPr>
          <w:rFonts w:hint="default" w:ascii="Times New Roman" w:hAnsi="Times New Roman" w:eastAsia="宋体" w:cs="Times New Roman"/>
          <w:lang w:val="en-US" w:eastAsia="zh-CN"/>
        </w:rPr>
        <w:t>消防水源、水量、水压及室外消火栓布置应符合电力消防相关规定，确保可靠供水。</w:t>
      </w:r>
    </w:p>
    <w:p w14:paraId="6E947C42">
      <w:pPr>
        <w:pStyle w:val="20"/>
        <w:bidi w:val="0"/>
        <w:rPr>
          <w:rFonts w:hint="default" w:ascii="Times New Roman" w:hAnsi="Times New Roman" w:eastAsia="宋体" w:cs="Times New Roman"/>
          <w:lang w:val="en-US" w:eastAsia="zh-CN"/>
        </w:rPr>
      </w:pPr>
      <w:r>
        <w:rPr>
          <w:rFonts w:hint="default" w:ascii="Times New Roman" w:hAnsi="Times New Roman" w:eastAsia="宋体" w:cs="Times New Roman"/>
          <w:b/>
          <w:bCs/>
          <w:lang w:val="en-US" w:eastAsia="zh-CN"/>
        </w:rPr>
        <w:t>7.</w:t>
      </w:r>
      <w:r>
        <w:rPr>
          <w:rFonts w:hint="eastAsia" w:ascii="Times New Roman" w:hAnsi="Times New Roman" w:eastAsia="宋体" w:cs="Times New Roman"/>
          <w:b/>
          <w:bCs/>
          <w:lang w:val="en-US" w:eastAsia="zh-CN"/>
        </w:rPr>
        <w:t xml:space="preserve"> </w:t>
      </w:r>
      <w:r>
        <w:rPr>
          <w:rFonts w:hint="default" w:ascii="Times New Roman" w:hAnsi="Times New Roman" w:eastAsia="宋体" w:cs="Times New Roman"/>
          <w:b/>
          <w:bCs/>
          <w:lang w:val="en-US" w:eastAsia="zh-CN"/>
        </w:rPr>
        <w:t>3.</w:t>
      </w:r>
      <w:r>
        <w:rPr>
          <w:rFonts w:hint="eastAsia" w:ascii="Times New Roman" w:hAnsi="Times New Roman" w:eastAsia="宋体" w:cs="Times New Roman"/>
          <w:b/>
          <w:bCs/>
          <w:lang w:val="en-US" w:eastAsia="zh-CN"/>
        </w:rPr>
        <w:t xml:space="preserve"> </w:t>
      </w:r>
      <w:r>
        <w:rPr>
          <w:rFonts w:hint="default" w:ascii="Times New Roman" w:hAnsi="Times New Roman" w:eastAsia="宋体" w:cs="Times New Roman"/>
          <w:b/>
          <w:bCs/>
          <w:lang w:val="en-US" w:eastAsia="zh-CN"/>
        </w:rPr>
        <w:t>3</w:t>
      </w:r>
      <w:r>
        <w:rPr>
          <w:rFonts w:hint="eastAsia"/>
          <w:b/>
          <w:bCs/>
          <w:lang w:val="en-US" w:eastAsia="zh-CN"/>
        </w:rPr>
        <w:t xml:space="preserve">  </w:t>
      </w:r>
      <w:r>
        <w:rPr>
          <w:rFonts w:hint="default" w:ascii="Times New Roman" w:hAnsi="Times New Roman" w:eastAsia="宋体" w:cs="Times New Roman"/>
          <w:lang w:val="en-US" w:eastAsia="zh-CN"/>
        </w:rPr>
        <w:t>主变压器、配电室、逆变器室等重点区域应按</w:t>
      </w:r>
      <w:r>
        <w:rPr>
          <w:rFonts w:hint="eastAsia" w:ascii="Times New Roman" w:hAnsi="Times New Roman" w:eastAsia="宋体" w:cs="Times New Roman"/>
          <w:lang w:val="en-US" w:eastAsia="zh-CN"/>
        </w:rPr>
        <w:t>现行行业标准《电力设备典型消防规程》</w:t>
      </w:r>
      <w:r>
        <w:rPr>
          <w:rFonts w:hint="default" w:ascii="Times New Roman" w:hAnsi="Times New Roman" w:eastAsia="宋体" w:cs="Times New Roman"/>
          <w:lang w:val="en-US" w:eastAsia="zh-CN"/>
        </w:rPr>
        <w:t>DL 5027</w:t>
      </w:r>
      <w:r>
        <w:rPr>
          <w:rFonts w:hint="eastAsia" w:ascii="Times New Roman" w:hAnsi="Times New Roman" w:eastAsia="宋体" w:cs="Times New Roman"/>
          <w:lang w:val="en-US" w:eastAsia="zh-CN"/>
        </w:rPr>
        <w:t>的规定</w:t>
      </w:r>
      <w:r>
        <w:rPr>
          <w:rFonts w:hint="default" w:ascii="Times New Roman" w:hAnsi="Times New Roman" w:eastAsia="宋体" w:cs="Times New Roman"/>
          <w:lang w:val="en-US" w:eastAsia="zh-CN"/>
        </w:rPr>
        <w:t>配置适用灭火设施。</w:t>
      </w:r>
    </w:p>
    <w:p w14:paraId="7C4949C8">
      <w:pPr>
        <w:pStyle w:val="20"/>
        <w:bidi w:val="0"/>
        <w:rPr>
          <w:rFonts w:hint="default" w:ascii="Times New Roman" w:hAnsi="Times New Roman" w:eastAsia="宋体" w:cs="Times New Roman"/>
          <w:lang w:val="en-US" w:eastAsia="zh-CN"/>
        </w:rPr>
      </w:pPr>
      <w:r>
        <w:rPr>
          <w:rFonts w:hint="default" w:ascii="Times New Roman" w:hAnsi="Times New Roman" w:eastAsia="宋体" w:cs="Times New Roman"/>
          <w:b/>
          <w:bCs/>
          <w:lang w:val="en-US" w:eastAsia="zh-CN"/>
        </w:rPr>
        <w:t>7.</w:t>
      </w:r>
      <w:r>
        <w:rPr>
          <w:rFonts w:hint="eastAsia" w:ascii="Times New Roman" w:hAnsi="Times New Roman" w:eastAsia="宋体" w:cs="Times New Roman"/>
          <w:b/>
          <w:bCs/>
          <w:lang w:val="en-US" w:eastAsia="zh-CN"/>
        </w:rPr>
        <w:t xml:space="preserve"> </w:t>
      </w:r>
      <w:r>
        <w:rPr>
          <w:rFonts w:hint="default" w:ascii="Times New Roman" w:hAnsi="Times New Roman" w:eastAsia="宋体" w:cs="Times New Roman"/>
          <w:b/>
          <w:bCs/>
          <w:lang w:val="en-US" w:eastAsia="zh-CN"/>
        </w:rPr>
        <w:t>3.</w:t>
      </w:r>
      <w:r>
        <w:rPr>
          <w:rFonts w:hint="eastAsia" w:ascii="Times New Roman" w:hAnsi="Times New Roman" w:eastAsia="宋体" w:cs="Times New Roman"/>
          <w:b/>
          <w:bCs/>
          <w:lang w:val="en-US" w:eastAsia="zh-CN"/>
        </w:rPr>
        <w:t xml:space="preserve"> </w:t>
      </w:r>
      <w:r>
        <w:rPr>
          <w:rFonts w:hint="default" w:ascii="Times New Roman" w:hAnsi="Times New Roman" w:eastAsia="宋体" w:cs="Times New Roman"/>
          <w:b/>
          <w:bCs/>
          <w:lang w:val="en-US" w:eastAsia="zh-CN"/>
        </w:rPr>
        <w:t>4</w:t>
      </w:r>
      <w:r>
        <w:rPr>
          <w:rFonts w:hint="eastAsia"/>
          <w:b/>
          <w:bCs/>
          <w:lang w:val="en-US" w:eastAsia="zh-CN"/>
        </w:rPr>
        <w:t xml:space="preserve">  </w:t>
      </w:r>
      <w:r>
        <w:rPr>
          <w:rFonts w:hint="default" w:ascii="Times New Roman" w:hAnsi="Times New Roman" w:eastAsia="宋体" w:cs="Times New Roman"/>
          <w:lang w:val="en-US" w:eastAsia="zh-CN"/>
        </w:rPr>
        <w:t>消防水泵、管道及附件应满足防火、防冻、防腐要求，适应山地环境。</w:t>
      </w:r>
    </w:p>
    <w:p w14:paraId="6A5B85EA">
      <w:pPr>
        <w:pStyle w:val="20"/>
        <w:bidi w:val="0"/>
        <w:rPr>
          <w:rFonts w:hint="default" w:ascii="Times New Roman" w:hAnsi="Times New Roman" w:eastAsia="宋体" w:cs="Times New Roman"/>
          <w:lang w:val="en-US" w:eastAsia="zh-CN"/>
        </w:rPr>
      </w:pPr>
    </w:p>
    <w:p w14:paraId="3FF1E57D">
      <w:pPr>
        <w:pStyle w:val="20"/>
        <w:bidi w:val="0"/>
        <w:rPr>
          <w:rFonts w:hint="default" w:ascii="Times New Roman" w:hAnsi="Times New Roman" w:eastAsia="宋体" w:cs="Times New Roman"/>
          <w:lang w:val="en-US" w:eastAsia="zh-CN"/>
        </w:rPr>
      </w:pPr>
    </w:p>
    <w:p w14:paraId="62DA7F63">
      <w:pPr>
        <w:pStyle w:val="20"/>
        <w:bidi w:val="0"/>
        <w:rPr>
          <w:rFonts w:hint="default" w:ascii="Times New Roman" w:hAnsi="Times New Roman" w:eastAsia="宋体" w:cs="Times New Roman"/>
          <w:lang w:val="en-US" w:eastAsia="zh-CN"/>
        </w:rPr>
      </w:pPr>
    </w:p>
    <w:p w14:paraId="20FA8F35">
      <w:pPr>
        <w:pStyle w:val="20"/>
        <w:bidi w:val="0"/>
        <w:rPr>
          <w:rFonts w:hint="default" w:ascii="Times New Roman" w:hAnsi="Times New Roman" w:eastAsia="宋体" w:cs="Times New Roman"/>
          <w:lang w:val="en-US" w:eastAsia="zh-CN"/>
        </w:rPr>
      </w:pPr>
    </w:p>
    <w:p w14:paraId="1562AF0D">
      <w:pPr>
        <w:pStyle w:val="20"/>
        <w:bidi w:val="0"/>
        <w:rPr>
          <w:rFonts w:hint="default" w:ascii="Times New Roman" w:hAnsi="Times New Roman" w:eastAsia="宋体" w:cs="Times New Roman"/>
          <w:lang w:val="en-US" w:eastAsia="zh-CN"/>
        </w:rPr>
      </w:pPr>
    </w:p>
    <w:p w14:paraId="29E9AAA6">
      <w:pPr>
        <w:pStyle w:val="20"/>
        <w:bidi w:val="0"/>
        <w:rPr>
          <w:rFonts w:hint="default" w:ascii="Times New Roman" w:hAnsi="Times New Roman" w:eastAsia="宋体" w:cs="Times New Roman"/>
          <w:lang w:val="en-US" w:eastAsia="zh-CN"/>
        </w:rPr>
      </w:pPr>
    </w:p>
    <w:p w14:paraId="4F636F3A">
      <w:pPr>
        <w:pStyle w:val="20"/>
        <w:bidi w:val="0"/>
        <w:rPr>
          <w:rFonts w:hint="default" w:ascii="Times New Roman" w:hAnsi="Times New Roman" w:eastAsia="宋体" w:cs="Times New Roman"/>
          <w:lang w:val="en-US" w:eastAsia="zh-CN"/>
        </w:rPr>
      </w:pPr>
    </w:p>
    <w:p w14:paraId="6F65CC08">
      <w:pPr>
        <w:pStyle w:val="20"/>
        <w:bidi w:val="0"/>
        <w:rPr>
          <w:rFonts w:hint="default" w:ascii="Times New Roman" w:hAnsi="Times New Roman" w:eastAsia="宋体" w:cs="Times New Roman"/>
          <w:lang w:val="en-US" w:eastAsia="zh-CN"/>
        </w:rPr>
      </w:pPr>
    </w:p>
    <w:p w14:paraId="79D372F0">
      <w:pPr>
        <w:pStyle w:val="20"/>
        <w:bidi w:val="0"/>
        <w:rPr>
          <w:rFonts w:hint="default" w:ascii="Times New Roman" w:hAnsi="Times New Roman" w:eastAsia="宋体" w:cs="Times New Roman"/>
          <w:lang w:val="en-US" w:eastAsia="zh-CN"/>
        </w:rPr>
      </w:pPr>
    </w:p>
    <w:p w14:paraId="18F29556">
      <w:pPr>
        <w:pStyle w:val="20"/>
        <w:bidi w:val="0"/>
        <w:rPr>
          <w:rFonts w:hint="default" w:ascii="Times New Roman" w:hAnsi="Times New Roman" w:eastAsia="宋体" w:cs="Times New Roman"/>
          <w:lang w:val="en-US" w:eastAsia="zh-CN"/>
        </w:rPr>
      </w:pPr>
    </w:p>
    <w:p w14:paraId="2010C926">
      <w:pPr>
        <w:pStyle w:val="20"/>
        <w:bidi w:val="0"/>
        <w:rPr>
          <w:rFonts w:hint="default" w:ascii="Times New Roman" w:hAnsi="Times New Roman" w:eastAsia="宋体" w:cs="Times New Roman"/>
          <w:lang w:val="en-US" w:eastAsia="zh-CN"/>
        </w:rPr>
      </w:pPr>
    </w:p>
    <w:p w14:paraId="0A912909">
      <w:pPr>
        <w:pStyle w:val="20"/>
        <w:bidi w:val="0"/>
        <w:rPr>
          <w:rFonts w:hint="default" w:ascii="Times New Roman" w:hAnsi="Times New Roman" w:eastAsia="宋体" w:cs="Times New Roman"/>
          <w:lang w:val="en-US" w:eastAsia="zh-CN"/>
        </w:rPr>
      </w:pPr>
    </w:p>
    <w:p w14:paraId="330DF7D2">
      <w:pPr>
        <w:pStyle w:val="20"/>
        <w:bidi w:val="0"/>
        <w:rPr>
          <w:rFonts w:hint="default" w:ascii="Times New Roman" w:hAnsi="Times New Roman" w:eastAsia="宋体" w:cs="Times New Roman"/>
          <w:lang w:val="en-US" w:eastAsia="zh-CN"/>
        </w:rPr>
      </w:pPr>
    </w:p>
    <w:p w14:paraId="4500C840">
      <w:pPr>
        <w:pStyle w:val="20"/>
        <w:bidi w:val="0"/>
        <w:rPr>
          <w:rFonts w:hint="default" w:ascii="Times New Roman" w:hAnsi="Times New Roman" w:eastAsia="宋体" w:cs="Times New Roman"/>
          <w:lang w:val="en-US" w:eastAsia="zh-CN"/>
        </w:rPr>
      </w:pPr>
    </w:p>
    <w:p w14:paraId="7D33FCFB">
      <w:pPr>
        <w:pStyle w:val="20"/>
        <w:bidi w:val="0"/>
        <w:rPr>
          <w:rFonts w:hint="default" w:ascii="Times New Roman" w:hAnsi="Times New Roman" w:eastAsia="宋体" w:cs="Times New Roman"/>
          <w:lang w:val="en-US" w:eastAsia="zh-CN"/>
        </w:rPr>
      </w:pPr>
    </w:p>
    <w:p w14:paraId="34C61ECC">
      <w:pPr>
        <w:pStyle w:val="20"/>
        <w:bidi w:val="0"/>
        <w:rPr>
          <w:rFonts w:hint="default" w:ascii="Times New Roman" w:hAnsi="Times New Roman" w:eastAsia="宋体" w:cs="Times New Roman"/>
          <w:lang w:val="en-US" w:eastAsia="zh-CN"/>
        </w:rPr>
      </w:pPr>
    </w:p>
    <w:p w14:paraId="649266F8">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rPr>
          <w:rFonts w:hint="eastAsia"/>
        </w:rPr>
      </w:pPr>
      <w:bookmarkStart w:id="81" w:name="_Toc19554"/>
      <w:r>
        <w:rPr>
          <w:rFonts w:hint="eastAsia"/>
          <w:b/>
          <w:bCs/>
          <w:lang w:val="en-US" w:eastAsia="zh-CN"/>
        </w:rPr>
        <w:t>8</w:t>
      </w:r>
      <w:r>
        <w:rPr>
          <w:rFonts w:hint="eastAsia"/>
          <w:lang w:val="en-US" w:eastAsia="zh-CN"/>
        </w:rPr>
        <w:t xml:space="preserve">  </w:t>
      </w:r>
      <w:r>
        <w:rPr>
          <w:rFonts w:hint="eastAsia"/>
        </w:rPr>
        <w:t>环境保护与水土保持</w:t>
      </w:r>
      <w:bookmarkEnd w:id="81"/>
    </w:p>
    <w:p w14:paraId="1D153E77">
      <w:pPr>
        <w:pStyle w:val="27"/>
        <w:bidi w:val="0"/>
        <w:outlineLvl w:val="1"/>
        <w:rPr>
          <w:rFonts w:hint="eastAsia"/>
        </w:rPr>
      </w:pPr>
      <w:bookmarkStart w:id="82" w:name="_Toc13658"/>
      <w:r>
        <w:rPr>
          <w:rFonts w:hint="eastAsia"/>
          <w:b/>
          <w:bCs/>
        </w:rPr>
        <w:t>8.</w:t>
      </w:r>
      <w:r>
        <w:rPr>
          <w:rFonts w:hint="eastAsia"/>
          <w:b/>
          <w:bCs/>
          <w:lang w:val="en-US" w:eastAsia="zh-CN"/>
        </w:rPr>
        <w:t xml:space="preserve"> </w:t>
      </w:r>
      <w:r>
        <w:rPr>
          <w:rFonts w:hint="eastAsia"/>
          <w:b/>
          <w:bCs/>
        </w:rPr>
        <w:t>1</w:t>
      </w:r>
      <w:r>
        <w:rPr>
          <w:rFonts w:hint="eastAsia"/>
          <w:b/>
          <w:bCs/>
          <w:lang w:val="en-US" w:eastAsia="zh-CN"/>
        </w:rPr>
        <w:t xml:space="preserve">  </w:t>
      </w:r>
      <w:r>
        <w:rPr>
          <w:rFonts w:hint="eastAsia"/>
        </w:rPr>
        <w:t>一般规定</w:t>
      </w:r>
      <w:bookmarkEnd w:id="82"/>
    </w:p>
    <w:p w14:paraId="01DB588C">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8. 1. 1</w:t>
      </w:r>
      <w:r>
        <w:rPr>
          <w:rFonts w:hint="eastAsia"/>
          <w:b/>
          <w:bCs/>
          <w:lang w:val="en-US" w:eastAsia="zh-CN"/>
        </w:rPr>
        <w:t xml:space="preserve">  </w:t>
      </w:r>
      <w:r>
        <w:rPr>
          <w:rFonts w:hint="eastAsia" w:ascii="Times New Roman" w:hAnsi="Times New Roman" w:eastAsia="宋体" w:cs="Times New Roman"/>
          <w:lang w:val="en-US" w:eastAsia="zh-CN"/>
        </w:rPr>
        <w:t>应根据工程实际情况和环境特点，制订环境保护及水土保持的措施和对策。</w:t>
      </w:r>
    </w:p>
    <w:p w14:paraId="2FBECCA4">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8. 1. 2</w:t>
      </w:r>
      <w:r>
        <w:rPr>
          <w:rFonts w:hint="eastAsia"/>
          <w:b/>
          <w:bCs/>
          <w:lang w:val="en-US" w:eastAsia="zh-CN"/>
        </w:rPr>
        <w:t xml:space="preserve">  </w:t>
      </w:r>
      <w:r>
        <w:rPr>
          <w:rFonts w:hint="eastAsia" w:ascii="Times New Roman" w:hAnsi="Times New Roman" w:eastAsia="宋体" w:cs="Times New Roman"/>
          <w:lang w:val="en-US" w:eastAsia="zh-CN"/>
        </w:rPr>
        <w:t>施工宜采取永临结合、因地制宜的方式，减少对环境的影响。</w:t>
      </w:r>
    </w:p>
    <w:p w14:paraId="0A5F6B68">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8. 1. 3</w:t>
      </w:r>
      <w:r>
        <w:rPr>
          <w:rFonts w:hint="eastAsia"/>
          <w:b/>
          <w:bCs/>
          <w:lang w:val="en-US" w:eastAsia="zh-CN"/>
        </w:rPr>
        <w:t xml:space="preserve">  </w:t>
      </w:r>
      <w:r>
        <w:rPr>
          <w:rFonts w:hint="eastAsia" w:ascii="Times New Roman" w:hAnsi="Times New Roman" w:eastAsia="宋体" w:cs="Times New Roman"/>
          <w:lang w:val="en-US" w:eastAsia="zh-CN"/>
        </w:rPr>
        <w:t>施工应考虑电站全寿命周期对环境的影响，符合当地环境保护和水土保持要求，应减少土石方挖填，减少对地表植被和表层土的破坏。</w:t>
      </w:r>
    </w:p>
    <w:p w14:paraId="4547A96A">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8. 1. 4</w:t>
      </w:r>
      <w:r>
        <w:rPr>
          <w:rFonts w:hint="eastAsia"/>
          <w:b/>
          <w:bCs/>
          <w:lang w:val="en-US" w:eastAsia="zh-CN"/>
        </w:rPr>
        <w:t xml:space="preserve">  </w:t>
      </w:r>
      <w:r>
        <w:rPr>
          <w:rFonts w:hint="eastAsia" w:ascii="Times New Roman" w:hAnsi="Times New Roman" w:eastAsia="宋体" w:cs="Times New Roman"/>
          <w:lang w:val="en-US" w:eastAsia="zh-CN"/>
        </w:rPr>
        <w:t>应按照批准的水土保持方案加强施工组织管理。</w:t>
      </w:r>
    </w:p>
    <w:p w14:paraId="7182A83A">
      <w:pPr>
        <w:pStyle w:val="27"/>
        <w:bidi w:val="0"/>
        <w:outlineLvl w:val="1"/>
        <w:rPr>
          <w:rFonts w:hint="eastAsia"/>
        </w:rPr>
      </w:pPr>
      <w:bookmarkStart w:id="83" w:name="_Toc18060"/>
      <w:r>
        <w:rPr>
          <w:rFonts w:hint="eastAsia"/>
          <w:b/>
          <w:bCs/>
        </w:rPr>
        <w:t>8.</w:t>
      </w:r>
      <w:r>
        <w:rPr>
          <w:rFonts w:hint="eastAsia"/>
          <w:b/>
          <w:bCs/>
          <w:lang w:val="en-US" w:eastAsia="zh-CN"/>
        </w:rPr>
        <w:t xml:space="preserve"> </w:t>
      </w:r>
      <w:r>
        <w:rPr>
          <w:rFonts w:hint="eastAsia"/>
          <w:b/>
          <w:bCs/>
        </w:rPr>
        <w:t>2</w:t>
      </w:r>
      <w:r>
        <w:rPr>
          <w:rFonts w:hint="eastAsia"/>
          <w:b/>
          <w:bCs/>
          <w:lang w:val="en-US" w:eastAsia="zh-CN"/>
        </w:rPr>
        <w:t xml:space="preserve">  </w:t>
      </w:r>
      <w:r>
        <w:rPr>
          <w:rFonts w:hint="eastAsia"/>
        </w:rPr>
        <w:t>环境保护</w:t>
      </w:r>
      <w:bookmarkEnd w:id="83"/>
    </w:p>
    <w:p w14:paraId="3CE1175C">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8. 2. 1</w:t>
      </w:r>
      <w:r>
        <w:rPr>
          <w:rFonts w:hint="eastAsia"/>
          <w:b/>
          <w:bCs/>
          <w:lang w:val="en-US" w:eastAsia="zh-CN"/>
        </w:rPr>
        <w:t xml:space="preserve">  </w:t>
      </w:r>
      <w:r>
        <w:rPr>
          <w:rFonts w:hint="eastAsia" w:ascii="Times New Roman" w:hAnsi="Times New Roman" w:eastAsia="宋体" w:cs="Times New Roman"/>
          <w:lang w:val="en-US" w:eastAsia="zh-CN"/>
        </w:rPr>
        <w:t>山地光伏电站施工时环境保护应符合现行国家标准《光伏发电站施工规范》GB 50794的规定。</w:t>
      </w:r>
    </w:p>
    <w:p w14:paraId="5172FA52">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8. 2. 2</w:t>
      </w:r>
      <w:r>
        <w:rPr>
          <w:rFonts w:hint="eastAsia"/>
          <w:b/>
          <w:bCs/>
          <w:lang w:val="en-US" w:eastAsia="zh-CN"/>
        </w:rPr>
        <w:t xml:space="preserve">  </w:t>
      </w:r>
      <w:r>
        <w:rPr>
          <w:rFonts w:hint="eastAsia" w:ascii="Times New Roman" w:hAnsi="Times New Roman" w:eastAsia="宋体" w:cs="Times New Roman"/>
          <w:lang w:val="en-US" w:eastAsia="zh-CN"/>
        </w:rPr>
        <w:t>施工期间，应监测和保护野生动物，避让珍稀植物。</w:t>
      </w:r>
    </w:p>
    <w:p w14:paraId="1937C0AB">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8. 2. 3</w:t>
      </w:r>
      <w:r>
        <w:rPr>
          <w:rFonts w:hint="eastAsia"/>
          <w:b/>
          <w:bCs/>
          <w:lang w:val="en-US" w:eastAsia="zh-CN"/>
        </w:rPr>
        <w:t xml:space="preserve">  </w:t>
      </w:r>
      <w:r>
        <w:rPr>
          <w:rFonts w:hint="eastAsia" w:ascii="Times New Roman" w:hAnsi="Times New Roman" w:eastAsia="宋体" w:cs="Times New Roman"/>
          <w:lang w:val="en-US" w:eastAsia="zh-CN"/>
        </w:rPr>
        <w:t>对林光互补复合光伏项目，除桩基外，阵列区严禁硬化地表，不破坏耕作层/腐殖层。</w:t>
      </w:r>
    </w:p>
    <w:p w14:paraId="31FAED61">
      <w:pPr>
        <w:pStyle w:val="27"/>
        <w:bidi w:val="0"/>
        <w:outlineLvl w:val="1"/>
        <w:rPr>
          <w:rFonts w:hint="eastAsia"/>
        </w:rPr>
      </w:pPr>
      <w:bookmarkStart w:id="84" w:name="_Toc31895"/>
      <w:r>
        <w:rPr>
          <w:rFonts w:hint="eastAsia"/>
          <w:b/>
          <w:bCs/>
        </w:rPr>
        <w:t>8.</w:t>
      </w:r>
      <w:r>
        <w:rPr>
          <w:rFonts w:hint="eastAsia"/>
          <w:b/>
          <w:bCs/>
          <w:lang w:val="en-US" w:eastAsia="zh-CN"/>
        </w:rPr>
        <w:t xml:space="preserve"> </w:t>
      </w:r>
      <w:r>
        <w:rPr>
          <w:rFonts w:hint="eastAsia"/>
          <w:b/>
          <w:bCs/>
        </w:rPr>
        <w:t>3</w:t>
      </w:r>
      <w:r>
        <w:rPr>
          <w:rFonts w:hint="eastAsia"/>
          <w:b/>
          <w:bCs/>
          <w:lang w:val="en-US" w:eastAsia="zh-CN"/>
        </w:rPr>
        <w:t xml:space="preserve">  </w:t>
      </w:r>
      <w:r>
        <w:rPr>
          <w:rFonts w:hint="eastAsia"/>
        </w:rPr>
        <w:t>水土保持</w:t>
      </w:r>
      <w:bookmarkEnd w:id="84"/>
    </w:p>
    <w:p w14:paraId="62ABA177">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8. 3. 1</w:t>
      </w:r>
      <w:r>
        <w:rPr>
          <w:rFonts w:hint="eastAsia"/>
          <w:b/>
          <w:bCs/>
          <w:lang w:val="en-US" w:eastAsia="zh-CN"/>
        </w:rPr>
        <w:t xml:space="preserve">  </w:t>
      </w:r>
      <w:r>
        <w:rPr>
          <w:rFonts w:hint="eastAsia" w:ascii="Times New Roman" w:hAnsi="Times New Roman" w:eastAsia="宋体" w:cs="Times New Roman"/>
          <w:lang w:val="en-US" w:eastAsia="zh-CN"/>
        </w:rPr>
        <w:t>光伏电站工程完工后应按设计要求恢复地貌、植被。</w:t>
      </w:r>
    </w:p>
    <w:p w14:paraId="20740612">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8. 3. 2</w:t>
      </w:r>
      <w:r>
        <w:rPr>
          <w:rFonts w:hint="eastAsia"/>
          <w:b/>
          <w:bCs/>
          <w:lang w:val="en-US" w:eastAsia="zh-CN"/>
        </w:rPr>
        <w:t xml:space="preserve">  </w:t>
      </w:r>
      <w:r>
        <w:rPr>
          <w:rFonts w:hint="eastAsia" w:ascii="Times New Roman" w:hAnsi="Times New Roman" w:eastAsia="宋体" w:cs="Times New Roman"/>
          <w:lang w:val="en-US" w:eastAsia="zh-CN"/>
        </w:rPr>
        <w:t>施工期临时设置的弃渣场、取土场、砂石场、堆料场、拌合站、工棚、临时施工道路等，应办理相关用地手续。</w:t>
      </w:r>
    </w:p>
    <w:p w14:paraId="7E5925AB">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8. 3. 3</w:t>
      </w:r>
      <w:r>
        <w:rPr>
          <w:rFonts w:hint="eastAsia"/>
          <w:b/>
          <w:bCs/>
          <w:lang w:val="en-US" w:eastAsia="zh-CN"/>
        </w:rPr>
        <w:t xml:space="preserve">  </w:t>
      </w:r>
      <w:r>
        <w:rPr>
          <w:rFonts w:hint="eastAsia" w:ascii="Times New Roman" w:hAnsi="Times New Roman" w:eastAsia="宋体" w:cs="Times New Roman"/>
          <w:lang w:val="en-US" w:eastAsia="zh-CN"/>
        </w:rPr>
        <w:t>临时弃土不应堵塞天然泄洪通道，应采取覆盖和围挡措施，防止水土流失。</w:t>
      </w:r>
    </w:p>
    <w:p w14:paraId="00CD1912">
      <w:pPr>
        <w:pStyle w:val="20"/>
        <w:bidi w:val="0"/>
        <w:rPr>
          <w:rFonts w:hint="eastAsia" w:ascii="Times New Roman" w:hAnsi="Times New Roman" w:eastAsia="宋体" w:cs="Times New Roman"/>
          <w:lang w:val="en-US" w:eastAsia="zh-CN"/>
        </w:rPr>
      </w:pPr>
    </w:p>
    <w:p w14:paraId="1BB89444">
      <w:pPr>
        <w:pageBreakBefore w:val="0"/>
        <w:overflowPunct/>
        <w:topLinePunct w:val="0"/>
        <w:bidi w:val="0"/>
        <w:rPr>
          <w:rFonts w:hint="default"/>
          <w:color w:val="auto"/>
          <w:sz w:val="28"/>
          <w:szCs w:val="28"/>
          <w:lang w:val="en-US" w:eastAsia="zh-CN"/>
        </w:rPr>
      </w:pPr>
    </w:p>
    <w:p w14:paraId="119EE5E7">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rPr>
          <w:rFonts w:hint="eastAsia" w:eastAsia="宋体"/>
          <w:lang w:val="en-US" w:eastAsia="zh-CN"/>
        </w:rPr>
      </w:pPr>
      <w:bookmarkStart w:id="85" w:name="_Toc29637"/>
      <w:r>
        <w:rPr>
          <w:rFonts w:hint="eastAsia" w:eastAsia="宋体"/>
          <w:b/>
          <w:bCs/>
          <w:lang w:val="en-US" w:eastAsia="zh-CN"/>
        </w:rPr>
        <w:t>9</w:t>
      </w:r>
      <w:r>
        <w:rPr>
          <w:rFonts w:hint="eastAsia" w:eastAsia="宋体"/>
          <w:lang w:val="en-US" w:eastAsia="zh-CN"/>
        </w:rPr>
        <w:t xml:space="preserve">  安全与职业健康</w:t>
      </w:r>
      <w:bookmarkEnd w:id="85"/>
    </w:p>
    <w:p w14:paraId="7F1996FE">
      <w:pPr>
        <w:pStyle w:val="27"/>
        <w:bidi w:val="0"/>
        <w:outlineLvl w:val="1"/>
        <w:rPr>
          <w:rFonts w:hint="eastAsia"/>
        </w:rPr>
      </w:pPr>
      <w:bookmarkStart w:id="86" w:name="_Toc32697"/>
      <w:r>
        <w:rPr>
          <w:rFonts w:hint="eastAsia"/>
          <w:b/>
          <w:bCs/>
        </w:rPr>
        <w:t>9.</w:t>
      </w:r>
      <w:r>
        <w:rPr>
          <w:rFonts w:hint="eastAsia"/>
          <w:b/>
          <w:bCs/>
          <w:lang w:val="en-US" w:eastAsia="zh-CN"/>
        </w:rPr>
        <w:t xml:space="preserve"> </w:t>
      </w:r>
      <w:r>
        <w:rPr>
          <w:rFonts w:hint="eastAsia"/>
          <w:b/>
          <w:bCs/>
        </w:rPr>
        <w:t>1</w:t>
      </w:r>
      <w:r>
        <w:rPr>
          <w:rFonts w:hint="eastAsia"/>
          <w:b/>
          <w:bCs/>
          <w:lang w:val="en-US" w:eastAsia="zh-CN"/>
        </w:rPr>
        <w:t xml:space="preserve">  </w:t>
      </w:r>
      <w:r>
        <w:rPr>
          <w:rFonts w:hint="eastAsia"/>
        </w:rPr>
        <w:t>一般规定</w:t>
      </w:r>
      <w:bookmarkEnd w:id="86"/>
    </w:p>
    <w:p w14:paraId="4DC131C6">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9. 1. 1</w:t>
      </w:r>
      <w:r>
        <w:rPr>
          <w:rFonts w:hint="eastAsia"/>
          <w:b/>
          <w:bCs/>
          <w:lang w:val="en-US" w:eastAsia="zh-CN"/>
        </w:rPr>
        <w:t xml:space="preserve">  </w:t>
      </w:r>
      <w:r>
        <w:rPr>
          <w:rFonts w:hint="eastAsia" w:ascii="Times New Roman" w:hAnsi="Times New Roman" w:eastAsia="宋体" w:cs="Times New Roman"/>
          <w:lang w:val="en-US" w:eastAsia="zh-CN"/>
        </w:rPr>
        <w:t>开工前应结合工程自身特点，建立工程施工安全和职业健康管理组织机构，健全各项管理制度，并应同其他管理体系协调一致。管理体系应符合现行国家标准《职业健康安全管理体系要求》GB/T 45001的规定，并参照现行行业标准《企业安全生产标准化基本规范》AQ/T 9006的要求执行。</w:t>
      </w:r>
    </w:p>
    <w:p w14:paraId="7E8AB087">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9. 1. 2</w:t>
      </w:r>
      <w:r>
        <w:rPr>
          <w:rFonts w:hint="eastAsia"/>
          <w:b/>
          <w:bCs/>
          <w:lang w:val="en-US" w:eastAsia="zh-CN"/>
        </w:rPr>
        <w:t xml:space="preserve">  </w:t>
      </w:r>
      <w:r>
        <w:rPr>
          <w:rFonts w:hint="eastAsia" w:ascii="Times New Roman" w:hAnsi="Times New Roman" w:eastAsia="宋体" w:cs="Times New Roman"/>
          <w:lang w:val="en-US" w:eastAsia="zh-CN"/>
        </w:rPr>
        <w:t>应对施工人员和管理人员进行各级安全和职业健康教育和培训。</w:t>
      </w:r>
    </w:p>
    <w:p w14:paraId="36D718AA">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9. 1. 3</w:t>
      </w:r>
      <w:r>
        <w:rPr>
          <w:rFonts w:hint="eastAsia"/>
          <w:b/>
          <w:bCs/>
          <w:lang w:val="en-US" w:eastAsia="zh-CN"/>
        </w:rPr>
        <w:t xml:space="preserve">  </w:t>
      </w:r>
      <w:r>
        <w:rPr>
          <w:rFonts w:hint="eastAsia" w:ascii="Times New Roman" w:hAnsi="Times New Roman" w:eastAsia="宋体" w:cs="Times New Roman"/>
          <w:lang w:val="en-US" w:eastAsia="zh-CN"/>
        </w:rPr>
        <w:t>危险区域应设置明显的安全、警示标志或隔离带，施工人员应配备安全防护用品。安全标志的设置应符合现行国家标准《安全标志及其使用导则》GB 2894的规定。</w:t>
      </w:r>
    </w:p>
    <w:p w14:paraId="562A6EEB">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9. 1. 4</w:t>
      </w:r>
      <w:r>
        <w:rPr>
          <w:rFonts w:hint="eastAsia"/>
          <w:b/>
          <w:bCs/>
          <w:lang w:val="en-US" w:eastAsia="zh-CN"/>
        </w:rPr>
        <w:t xml:space="preserve">  </w:t>
      </w:r>
      <w:r>
        <w:rPr>
          <w:rFonts w:hint="eastAsia" w:ascii="Times New Roman" w:hAnsi="Times New Roman" w:eastAsia="宋体" w:cs="Times New Roman"/>
          <w:lang w:val="en-US" w:eastAsia="zh-CN"/>
        </w:rPr>
        <w:t>当海拔超过3500m时，施工营地应配置供氧设备、抗高原反应药品、防寒物资。</w:t>
      </w:r>
    </w:p>
    <w:p w14:paraId="527A1094">
      <w:pPr>
        <w:pStyle w:val="27"/>
        <w:bidi w:val="0"/>
        <w:outlineLvl w:val="1"/>
        <w:rPr>
          <w:rFonts w:hint="eastAsia"/>
        </w:rPr>
      </w:pPr>
      <w:bookmarkStart w:id="87" w:name="_Toc3859"/>
      <w:r>
        <w:rPr>
          <w:rFonts w:hint="eastAsia"/>
          <w:b/>
          <w:bCs/>
        </w:rPr>
        <w:t>9.</w:t>
      </w:r>
      <w:r>
        <w:rPr>
          <w:rFonts w:hint="eastAsia"/>
          <w:b/>
          <w:bCs/>
          <w:lang w:val="en-US" w:eastAsia="zh-CN"/>
        </w:rPr>
        <w:t xml:space="preserve"> </w:t>
      </w:r>
      <w:r>
        <w:rPr>
          <w:rFonts w:hint="eastAsia"/>
          <w:b/>
          <w:bCs/>
        </w:rPr>
        <w:t>2</w:t>
      </w:r>
      <w:r>
        <w:rPr>
          <w:rFonts w:hint="eastAsia"/>
          <w:b/>
          <w:bCs/>
          <w:lang w:val="en-US" w:eastAsia="zh-CN"/>
        </w:rPr>
        <w:t xml:space="preserve">  </w:t>
      </w:r>
      <w:r>
        <w:rPr>
          <w:rFonts w:hint="eastAsia"/>
        </w:rPr>
        <w:t>安全文明施工总体规划</w:t>
      </w:r>
      <w:bookmarkEnd w:id="87"/>
    </w:p>
    <w:p w14:paraId="09BD16EF">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9. 2. 1</w:t>
      </w:r>
      <w:r>
        <w:rPr>
          <w:rFonts w:hint="eastAsia"/>
          <w:b/>
          <w:bCs/>
          <w:lang w:val="en-US" w:eastAsia="zh-CN"/>
        </w:rPr>
        <w:t xml:space="preserve">  </w:t>
      </w:r>
      <w:r>
        <w:rPr>
          <w:rFonts w:hint="eastAsia" w:ascii="Times New Roman" w:hAnsi="Times New Roman" w:eastAsia="宋体" w:cs="Times New Roman"/>
          <w:lang w:val="en-US" w:eastAsia="zh-CN"/>
        </w:rPr>
        <w:t>施工现场应挂设工程概况牌、管理人员名单及监督电话牌、消防保卫（防火责任）牌、安全生产牌、文明施工牌和施工现场平面图。</w:t>
      </w:r>
    </w:p>
    <w:p w14:paraId="00B67ADF">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9. 2. 2</w:t>
      </w:r>
      <w:r>
        <w:rPr>
          <w:rFonts w:hint="eastAsia"/>
          <w:b/>
          <w:bCs/>
          <w:lang w:val="en-US" w:eastAsia="zh-CN"/>
        </w:rPr>
        <w:t xml:space="preserve">  </w:t>
      </w:r>
      <w:r>
        <w:rPr>
          <w:rFonts w:hint="eastAsia" w:ascii="Times New Roman" w:hAnsi="Times New Roman" w:eastAsia="宋体" w:cs="Times New Roman"/>
          <w:lang w:val="en-US" w:eastAsia="zh-CN"/>
        </w:rPr>
        <w:t>施工现场应实行区域模块式管理，对施工作业区、辅助作业区、材料堆放区、办公区和生活区等应进行明显的划分，办公区生活区与作业区应保持足够的安全距离。应避免在坡度区域、地质灾害易发区、行洪通道及主要通风口设置办公区和生活区。</w:t>
      </w:r>
    </w:p>
    <w:p w14:paraId="70A30B8D">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9. 2. 3</w:t>
      </w:r>
      <w:r>
        <w:rPr>
          <w:rFonts w:hint="eastAsia"/>
          <w:b/>
          <w:bCs/>
          <w:lang w:val="en-US" w:eastAsia="zh-CN"/>
        </w:rPr>
        <w:t xml:space="preserve">  </w:t>
      </w:r>
      <w:r>
        <w:rPr>
          <w:rFonts w:hint="eastAsia" w:ascii="Times New Roman" w:hAnsi="Times New Roman" w:eastAsia="宋体" w:cs="Times New Roman"/>
          <w:lang w:val="en-US" w:eastAsia="zh-CN"/>
        </w:rPr>
        <w:t>站区施工道路应畅通，不宜在路边堆放设备和材料等物品。</w:t>
      </w:r>
    </w:p>
    <w:p w14:paraId="67E563F6">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9. 2. 4</w:t>
      </w:r>
      <w:r>
        <w:rPr>
          <w:rFonts w:hint="eastAsia" w:ascii="Times New Roman" w:hAnsi="Times New Roman" w:eastAsia="宋体" w:cs="Times New Roman"/>
          <w:lang w:val="en-US" w:eastAsia="zh-CN"/>
        </w:rPr>
        <w:t xml:space="preserve"> 临时设施应布局合理、紧凑，充分利用地形，节约用地。临时设施应避开滑坡、泥石流高发区、不稳定边坡和低洼易涝区。</w:t>
      </w:r>
    </w:p>
    <w:p w14:paraId="7DF504E4">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9. 2. 4</w:t>
      </w:r>
      <w:r>
        <w:rPr>
          <w:rFonts w:hint="eastAsia"/>
          <w:b/>
          <w:bCs/>
          <w:lang w:val="en-US" w:eastAsia="zh-CN"/>
        </w:rPr>
        <w:t xml:space="preserve">  </w:t>
      </w:r>
      <w:r>
        <w:rPr>
          <w:rFonts w:hint="eastAsia" w:ascii="Times New Roman" w:hAnsi="Times New Roman" w:eastAsia="宋体" w:cs="Times New Roman"/>
          <w:lang w:val="en-US" w:eastAsia="zh-CN"/>
        </w:rPr>
        <w:t>施工机械应进行定期检查和保养，特种设备操作人员应持证上岗。山地使用的运输及吊装设备应适应坡道作业，并定期检查制动、转向系统。</w:t>
      </w:r>
    </w:p>
    <w:p w14:paraId="62ED6462">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9. 2. 5</w:t>
      </w:r>
      <w:r>
        <w:rPr>
          <w:rFonts w:hint="eastAsia"/>
          <w:b/>
          <w:bCs/>
          <w:lang w:val="en-US" w:eastAsia="zh-CN"/>
        </w:rPr>
        <w:t xml:space="preserve">  </w:t>
      </w:r>
      <w:r>
        <w:rPr>
          <w:rFonts w:hint="eastAsia" w:ascii="Times New Roman" w:hAnsi="Times New Roman" w:eastAsia="宋体" w:cs="Times New Roman"/>
          <w:lang w:val="en-US" w:eastAsia="zh-CN"/>
        </w:rPr>
        <w:t>设备、材料、土方等物资应堆放合理，并应标识清，排放有序。堆放场地应平整、稳固，不得在陡坡边缘或地质不稳定区域堆放重物。</w:t>
      </w:r>
    </w:p>
    <w:p w14:paraId="2BF2E1EB">
      <w:pPr>
        <w:pStyle w:val="27"/>
        <w:bidi w:val="0"/>
        <w:outlineLvl w:val="1"/>
        <w:rPr>
          <w:rFonts w:hint="eastAsia"/>
        </w:rPr>
      </w:pPr>
      <w:bookmarkStart w:id="88" w:name="_Toc28757"/>
      <w:r>
        <w:rPr>
          <w:rFonts w:hint="eastAsia"/>
          <w:b/>
          <w:bCs w:val="0"/>
        </w:rPr>
        <w:t>9.</w:t>
      </w:r>
      <w:r>
        <w:rPr>
          <w:rFonts w:hint="eastAsia"/>
          <w:b/>
          <w:bCs w:val="0"/>
          <w:lang w:val="en-US" w:eastAsia="zh-CN"/>
        </w:rPr>
        <w:t xml:space="preserve"> </w:t>
      </w:r>
      <w:r>
        <w:rPr>
          <w:rFonts w:hint="eastAsia"/>
          <w:b/>
          <w:bCs w:val="0"/>
        </w:rPr>
        <w:t>3</w:t>
      </w:r>
      <w:r>
        <w:rPr>
          <w:rFonts w:hint="eastAsia"/>
          <w:b/>
          <w:bCs/>
          <w:lang w:val="en-US" w:eastAsia="zh-CN"/>
        </w:rPr>
        <w:t xml:space="preserve">  </w:t>
      </w:r>
      <w:r>
        <w:rPr>
          <w:rFonts w:hint="eastAsia"/>
        </w:rPr>
        <w:t>安全施工管理</w:t>
      </w:r>
      <w:bookmarkEnd w:id="88"/>
    </w:p>
    <w:p w14:paraId="6F603052">
      <w:pPr>
        <w:pStyle w:val="20"/>
        <w:bidi w:val="0"/>
        <w:rPr>
          <w:rFonts w:hint="eastAsia" w:ascii="Times New Roman" w:hAnsi="Times New Roman" w:eastAsia="宋体" w:cs="Times New Roman"/>
          <w:lang w:val="en-US" w:eastAsia="zh-CN"/>
        </w:rPr>
      </w:pPr>
      <w:r>
        <w:rPr>
          <w:rFonts w:hint="default" w:ascii="Times New Roman" w:hAnsi="Times New Roman" w:eastAsia="宋体" w:cs="Times New Roman"/>
          <w:b/>
          <w:bCs/>
          <w:lang w:val="en-US" w:eastAsia="zh-CN"/>
        </w:rPr>
        <w:t>9.</w:t>
      </w:r>
      <w:r>
        <w:rPr>
          <w:rFonts w:hint="eastAsia" w:ascii="Times New Roman" w:hAnsi="Times New Roman" w:eastAsia="宋体" w:cs="Times New Roman"/>
          <w:b/>
          <w:bCs/>
          <w:lang w:val="en-US" w:eastAsia="zh-CN"/>
        </w:rPr>
        <w:t xml:space="preserve"> </w:t>
      </w:r>
      <w:r>
        <w:rPr>
          <w:rFonts w:hint="default" w:ascii="Times New Roman" w:hAnsi="Times New Roman" w:eastAsia="宋体" w:cs="Times New Roman"/>
          <w:b/>
          <w:bCs/>
          <w:lang w:val="en-US" w:eastAsia="zh-CN"/>
        </w:rPr>
        <w:t>3.</w:t>
      </w:r>
      <w:r>
        <w:rPr>
          <w:rFonts w:hint="eastAsia" w:ascii="Times New Roman" w:hAnsi="Times New Roman" w:eastAsia="宋体" w:cs="Times New Roman"/>
          <w:b/>
          <w:bCs/>
          <w:lang w:val="en-US" w:eastAsia="zh-CN"/>
        </w:rPr>
        <w:t xml:space="preserve"> </w:t>
      </w:r>
      <w:r>
        <w:rPr>
          <w:rFonts w:hint="default"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所有电气设备都应有可靠接地或接零措施，对配电盘、漏电保护器应定期检验并标识其状态，并在使用前进行确认。施工用电线路布线应合理、安全、可靠。</w:t>
      </w:r>
    </w:p>
    <w:p w14:paraId="1E4F051D">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9. 3. 2</w:t>
      </w:r>
      <w:r>
        <w:rPr>
          <w:rFonts w:hint="eastAsia"/>
          <w:b/>
          <w:bCs/>
          <w:lang w:val="en-US" w:eastAsia="zh-CN"/>
        </w:rPr>
        <w:t xml:space="preserve">  </w:t>
      </w:r>
      <w:r>
        <w:rPr>
          <w:rFonts w:hint="eastAsia" w:ascii="Times New Roman" w:hAnsi="Times New Roman" w:eastAsia="宋体" w:cs="Times New Roman"/>
          <w:lang w:val="en-US" w:eastAsia="zh-CN"/>
        </w:rPr>
        <w:t>施工过程中，应减少交叉作业。</w:t>
      </w:r>
    </w:p>
    <w:p w14:paraId="2D83F315">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9. 3. 3</w:t>
      </w:r>
      <w:r>
        <w:rPr>
          <w:rFonts w:hint="eastAsia"/>
          <w:b/>
          <w:bCs/>
          <w:lang w:val="en-US" w:eastAsia="zh-CN"/>
        </w:rPr>
        <w:t xml:space="preserve">  </w:t>
      </w:r>
      <w:r>
        <w:rPr>
          <w:rFonts w:hint="eastAsia" w:ascii="Times New Roman" w:hAnsi="Times New Roman" w:eastAsia="宋体" w:cs="Times New Roman"/>
          <w:lang w:val="en-US" w:eastAsia="zh-CN"/>
        </w:rPr>
        <w:t>山地施工运输应遵守以下规定：</w:t>
      </w:r>
    </w:p>
    <w:p w14:paraId="16765235">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雨季、冰雪天气时，运输车辆应配备防滑链，并控制车速。</w:t>
      </w:r>
    </w:p>
    <w:p w14:paraId="542EE98E">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运输路线应避开滑坡、泥石流高发区，设置应急避险路线和路标。</w:t>
      </w:r>
    </w:p>
    <w:p w14:paraId="07201829">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3</w:t>
      </w:r>
      <w:r>
        <w:rPr>
          <w:rFonts w:hint="eastAsia"/>
          <w:b/>
          <w:bCs/>
          <w:lang w:val="en-US" w:eastAsia="zh-CN"/>
        </w:rPr>
        <w:t xml:space="preserve">  </w:t>
      </w:r>
      <w:r>
        <w:rPr>
          <w:rFonts w:hint="eastAsia" w:ascii="Times New Roman" w:hAnsi="Times New Roman" w:eastAsia="宋体" w:cs="Times New Roman"/>
          <w:lang w:val="en-US" w:eastAsia="zh-CN"/>
        </w:rPr>
        <w:t>严禁超载、超速运输，载重车辆下坡时应使用低速挡。</w:t>
      </w:r>
    </w:p>
    <w:p w14:paraId="674B2226">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w:t>
      </w:r>
      <w:r>
        <w:rPr>
          <w:rFonts w:hint="eastAsia"/>
          <w:b/>
          <w:bCs/>
          <w:lang w:val="en-US" w:eastAsia="zh-CN"/>
        </w:rPr>
        <w:t xml:space="preserve">  </w:t>
      </w:r>
      <w:r>
        <w:rPr>
          <w:rFonts w:hint="eastAsia" w:ascii="Times New Roman" w:hAnsi="Times New Roman" w:eastAsia="宋体" w:cs="Times New Roman"/>
          <w:lang w:val="en-US" w:eastAsia="zh-CN"/>
        </w:rPr>
        <w:t>运输超重、超大设备时，应制定专项运输方案。</w:t>
      </w:r>
    </w:p>
    <w:p w14:paraId="34A2E599">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9. 3. 4</w:t>
      </w:r>
      <w:r>
        <w:rPr>
          <w:rFonts w:hint="eastAsia"/>
          <w:b/>
          <w:bCs/>
          <w:lang w:val="en-US" w:eastAsia="zh-CN"/>
        </w:rPr>
        <w:t xml:space="preserve">  </w:t>
      </w:r>
      <w:r>
        <w:rPr>
          <w:rFonts w:hint="eastAsia" w:ascii="Times New Roman" w:hAnsi="Times New Roman" w:eastAsia="宋体" w:cs="Times New Roman"/>
          <w:lang w:val="en-US" w:eastAsia="zh-CN"/>
        </w:rPr>
        <w:t>电气作业安全应遵守以下规定：</w:t>
      </w:r>
    </w:p>
    <w:p w14:paraId="3E8D44F2">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逆变器等设备接线前，必须确认相关侧有明显断开点，并验明无电。</w:t>
      </w:r>
    </w:p>
    <w:p w14:paraId="6374D112">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带电设备附近应配备适用于电气火灾的灭火器材。</w:t>
      </w:r>
    </w:p>
    <w:p w14:paraId="05072DD3">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3</w:t>
      </w:r>
      <w:r>
        <w:rPr>
          <w:rFonts w:hint="eastAsia"/>
          <w:b/>
          <w:bCs/>
          <w:lang w:val="en-US" w:eastAsia="zh-CN"/>
        </w:rPr>
        <w:t xml:space="preserve">  </w:t>
      </w:r>
      <w:r>
        <w:rPr>
          <w:rFonts w:hint="eastAsia" w:ascii="Times New Roman" w:hAnsi="Times New Roman" w:eastAsia="宋体" w:cs="Times New Roman"/>
          <w:lang w:val="en-US" w:eastAsia="zh-CN"/>
        </w:rPr>
        <w:t>高压设备区域应设置隔离措施和警示标志。</w:t>
      </w:r>
    </w:p>
    <w:p w14:paraId="57DD8159">
      <w:pPr>
        <w:pStyle w:val="27"/>
        <w:bidi w:val="0"/>
        <w:outlineLvl w:val="1"/>
        <w:rPr>
          <w:rFonts w:hint="eastAsia"/>
        </w:rPr>
      </w:pPr>
      <w:bookmarkStart w:id="89" w:name="_Toc25550"/>
      <w:r>
        <w:rPr>
          <w:rFonts w:hint="eastAsia"/>
          <w:b/>
          <w:bCs/>
        </w:rPr>
        <w:t>9.</w:t>
      </w:r>
      <w:r>
        <w:rPr>
          <w:rFonts w:hint="eastAsia"/>
          <w:b/>
          <w:bCs/>
          <w:lang w:val="en-US" w:eastAsia="zh-CN"/>
        </w:rPr>
        <w:t xml:space="preserve"> </w:t>
      </w:r>
      <w:r>
        <w:rPr>
          <w:rFonts w:hint="eastAsia"/>
          <w:b/>
          <w:bCs/>
        </w:rPr>
        <w:t>4</w:t>
      </w:r>
      <w:r>
        <w:rPr>
          <w:rFonts w:hint="eastAsia"/>
          <w:b/>
          <w:bCs/>
          <w:lang w:val="en-US" w:eastAsia="zh-CN"/>
        </w:rPr>
        <w:t xml:space="preserve">  </w:t>
      </w:r>
      <w:r>
        <w:rPr>
          <w:rFonts w:hint="eastAsia"/>
        </w:rPr>
        <w:t>职业健康管理</w:t>
      </w:r>
      <w:bookmarkEnd w:id="89"/>
    </w:p>
    <w:p w14:paraId="298EFAD5">
      <w:pPr>
        <w:pStyle w:val="20"/>
        <w:bidi w:val="0"/>
        <w:rPr>
          <w:rFonts w:hint="default" w:ascii="Times New Roman" w:hAnsi="Times New Roman" w:eastAsia="宋体" w:cs="Times New Roman"/>
          <w:lang w:val="en-US" w:eastAsia="zh-CN"/>
        </w:rPr>
      </w:pPr>
      <w:r>
        <w:rPr>
          <w:rFonts w:hint="eastAsia" w:ascii="Times New Roman" w:hAnsi="Times New Roman" w:eastAsia="宋体" w:cs="Times New Roman"/>
          <w:b/>
          <w:bCs/>
          <w:lang w:val="en-US" w:eastAsia="zh-CN"/>
        </w:rPr>
        <w:t>9. 4. 1</w:t>
      </w:r>
      <w:r>
        <w:rPr>
          <w:rFonts w:hint="eastAsia"/>
          <w:b/>
          <w:bCs/>
          <w:lang w:val="en-US" w:eastAsia="zh-CN"/>
        </w:rPr>
        <w:t xml:space="preserve">  </w:t>
      </w:r>
      <w:r>
        <w:rPr>
          <w:rFonts w:hint="eastAsia" w:ascii="Times New Roman" w:hAnsi="Times New Roman" w:eastAsia="宋体" w:cs="Times New Roman"/>
          <w:lang w:val="en-US" w:eastAsia="zh-CN"/>
        </w:rPr>
        <w:t>山地光伏电站施工人员职业健康除应符合现行国家标准《光伏发电站施工规范》GB 50794的规定外，还应符合下列要求：</w:t>
      </w:r>
    </w:p>
    <w:p w14:paraId="443CCD3E">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海拔3500m以上区域作业应增加高原适应能力检测，对确诊为高原反应易感人群，不得安排在高海拔区域作业。</w:t>
      </w:r>
    </w:p>
    <w:p w14:paraId="51CF5539">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海拔3500m以上区域应设置室内通风或供氧设施，防止高原缺氧环境影响。</w:t>
      </w:r>
    </w:p>
    <w:p w14:paraId="57FA5AED">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3</w:t>
      </w:r>
      <w:r>
        <w:rPr>
          <w:rFonts w:hint="eastAsia"/>
          <w:b/>
          <w:bCs/>
          <w:lang w:val="en-US" w:eastAsia="zh-CN"/>
        </w:rPr>
        <w:t xml:space="preserve">  </w:t>
      </w:r>
      <w:r>
        <w:rPr>
          <w:rFonts w:hint="eastAsia" w:ascii="Times New Roman" w:hAnsi="Times New Roman" w:eastAsia="宋体" w:cs="Times New Roman"/>
          <w:lang w:val="en-US" w:eastAsia="zh-CN"/>
        </w:rPr>
        <w:t>应为施工人员配备防晒、防滑、防刺穿、防坠落、防尘、高原防寒等用品，并监督其正确使用。</w:t>
      </w:r>
    </w:p>
    <w:p w14:paraId="24ED8668">
      <w:pPr>
        <w:pStyle w:val="27"/>
        <w:bidi w:val="0"/>
        <w:outlineLvl w:val="1"/>
        <w:rPr>
          <w:rFonts w:hint="eastAsia"/>
        </w:rPr>
      </w:pPr>
      <w:bookmarkStart w:id="90" w:name="_Toc13327"/>
      <w:r>
        <w:rPr>
          <w:rFonts w:hint="eastAsia"/>
          <w:b/>
          <w:bCs/>
        </w:rPr>
        <w:t>9.</w:t>
      </w:r>
      <w:r>
        <w:rPr>
          <w:rFonts w:hint="eastAsia"/>
          <w:b/>
          <w:bCs/>
          <w:lang w:val="en-US" w:eastAsia="zh-CN"/>
        </w:rPr>
        <w:t xml:space="preserve"> </w:t>
      </w:r>
      <w:r>
        <w:rPr>
          <w:rFonts w:hint="eastAsia"/>
          <w:b/>
          <w:bCs/>
        </w:rPr>
        <w:t>5</w:t>
      </w:r>
      <w:r>
        <w:rPr>
          <w:rFonts w:hint="eastAsia"/>
          <w:b/>
          <w:bCs/>
          <w:lang w:val="en-US" w:eastAsia="zh-CN"/>
        </w:rPr>
        <w:t xml:space="preserve">  </w:t>
      </w:r>
      <w:r>
        <w:rPr>
          <w:rFonts w:hint="eastAsia"/>
        </w:rPr>
        <w:t>应急处理</w:t>
      </w:r>
      <w:bookmarkEnd w:id="90"/>
    </w:p>
    <w:p w14:paraId="7E4C6DF1">
      <w:pPr>
        <w:pStyle w:val="4"/>
        <w:rPr>
          <w:rFonts w:hint="eastAsia"/>
        </w:rPr>
      </w:pPr>
    </w:p>
    <w:p w14:paraId="223D2FAB">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9. 5. 1</w:t>
      </w:r>
      <w:r>
        <w:rPr>
          <w:rFonts w:hint="eastAsia"/>
          <w:b/>
          <w:bCs/>
          <w:lang w:val="en-US" w:eastAsia="zh-CN"/>
        </w:rPr>
        <w:t xml:space="preserve">  </w:t>
      </w:r>
      <w:r>
        <w:rPr>
          <w:rFonts w:hint="eastAsia" w:ascii="Times New Roman" w:hAnsi="Times New Roman" w:eastAsia="宋体" w:cs="Times New Roman"/>
          <w:lang w:val="en-US" w:eastAsia="zh-CN"/>
        </w:rPr>
        <w:t>山地光伏电站施工应急处理除应符合现行国家标准《光伏发电站施工规范》GB 50794的规定外，还应符合下列要求：</w:t>
      </w:r>
    </w:p>
    <w:p w14:paraId="545F43C1">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在光伏电站开工前，应根据项目特点编制应急预案。应急预案应涵盖防防滑坡、防泥石流、防雷击、防高原反应、防中暑、防食物中毒、防野生动物伤害等。</w:t>
      </w:r>
    </w:p>
    <w:p w14:paraId="16F35FBA">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应针对山地环境特点进行复杂地形下的疏散、高原反应急救、地质灾害避险等应急救援培训，并定期组织演练。</w:t>
      </w:r>
    </w:p>
    <w:p w14:paraId="0931E7C4">
      <w:pPr>
        <w:pageBreakBefore w:val="0"/>
        <w:overflowPunct/>
        <w:topLinePunct w:val="0"/>
        <w:bidi w:val="0"/>
        <w:rPr>
          <w:rFonts w:hint="eastAsia"/>
          <w:strike w:val="0"/>
          <w:dstrike w:val="0"/>
          <w:color w:val="auto"/>
          <w:sz w:val="28"/>
          <w:szCs w:val="28"/>
          <w:lang w:val="en-US" w:eastAsia="zh-CN"/>
        </w:rPr>
      </w:pPr>
    </w:p>
    <w:p w14:paraId="6CFB2D15">
      <w:pPr>
        <w:pageBreakBefore w:val="0"/>
        <w:overflowPunct/>
        <w:topLinePunct w:val="0"/>
        <w:bidi w:val="0"/>
        <w:rPr>
          <w:rFonts w:hint="eastAsia"/>
          <w:strike w:val="0"/>
          <w:dstrike w:val="0"/>
          <w:color w:val="auto"/>
          <w:sz w:val="28"/>
          <w:szCs w:val="28"/>
          <w:lang w:val="en-US" w:eastAsia="zh-CN"/>
        </w:rPr>
      </w:pPr>
    </w:p>
    <w:p w14:paraId="44AF4E85">
      <w:pPr>
        <w:pageBreakBefore w:val="0"/>
        <w:overflowPunct/>
        <w:topLinePunct w:val="0"/>
        <w:bidi w:val="0"/>
        <w:rPr>
          <w:rFonts w:hint="eastAsia"/>
          <w:strike w:val="0"/>
          <w:dstrike w:val="0"/>
          <w:color w:val="auto"/>
          <w:sz w:val="28"/>
          <w:szCs w:val="28"/>
          <w:lang w:val="en-US" w:eastAsia="zh-CN"/>
        </w:rPr>
      </w:pPr>
    </w:p>
    <w:p w14:paraId="4DF08037">
      <w:pPr>
        <w:pageBreakBefore w:val="0"/>
        <w:overflowPunct/>
        <w:topLinePunct w:val="0"/>
        <w:bidi w:val="0"/>
        <w:rPr>
          <w:rFonts w:hint="eastAsia"/>
          <w:strike w:val="0"/>
          <w:dstrike w:val="0"/>
          <w:color w:val="auto"/>
          <w:sz w:val="28"/>
          <w:szCs w:val="28"/>
          <w:lang w:val="en-US" w:eastAsia="zh-CN"/>
        </w:rPr>
      </w:pPr>
    </w:p>
    <w:p w14:paraId="760B9FA7">
      <w:pPr>
        <w:pageBreakBefore w:val="0"/>
        <w:overflowPunct/>
        <w:topLinePunct w:val="0"/>
        <w:bidi w:val="0"/>
        <w:rPr>
          <w:rFonts w:hint="eastAsia"/>
          <w:strike w:val="0"/>
          <w:dstrike w:val="0"/>
          <w:color w:val="auto"/>
          <w:sz w:val="28"/>
          <w:szCs w:val="28"/>
          <w:lang w:val="en-US" w:eastAsia="zh-CN"/>
        </w:rPr>
      </w:pPr>
    </w:p>
    <w:p w14:paraId="1AA8D4A7">
      <w:pPr>
        <w:pageBreakBefore w:val="0"/>
        <w:overflowPunct/>
        <w:topLinePunct w:val="0"/>
        <w:bidi w:val="0"/>
        <w:rPr>
          <w:rFonts w:hint="eastAsia"/>
          <w:strike w:val="0"/>
          <w:dstrike w:val="0"/>
          <w:color w:val="auto"/>
          <w:sz w:val="28"/>
          <w:szCs w:val="28"/>
          <w:lang w:val="en-US" w:eastAsia="zh-CN"/>
        </w:rPr>
      </w:pPr>
    </w:p>
    <w:p w14:paraId="483D73A0">
      <w:pPr>
        <w:pageBreakBefore w:val="0"/>
        <w:overflowPunct/>
        <w:topLinePunct w:val="0"/>
        <w:bidi w:val="0"/>
        <w:rPr>
          <w:rFonts w:hint="eastAsia"/>
          <w:strike w:val="0"/>
          <w:dstrike w:val="0"/>
          <w:color w:val="auto"/>
          <w:sz w:val="28"/>
          <w:szCs w:val="28"/>
          <w:lang w:val="en-US" w:eastAsia="zh-CN"/>
        </w:rPr>
      </w:pPr>
    </w:p>
    <w:p w14:paraId="2D6283F6">
      <w:pPr>
        <w:pageBreakBefore w:val="0"/>
        <w:overflowPunct/>
        <w:topLinePunct w:val="0"/>
        <w:bidi w:val="0"/>
        <w:rPr>
          <w:rFonts w:hint="eastAsia"/>
          <w:strike w:val="0"/>
          <w:dstrike w:val="0"/>
          <w:color w:val="auto"/>
          <w:sz w:val="28"/>
          <w:szCs w:val="28"/>
          <w:lang w:val="en-US" w:eastAsia="zh-CN"/>
        </w:rPr>
      </w:pPr>
    </w:p>
    <w:p w14:paraId="5FF6B4B3">
      <w:pPr>
        <w:pageBreakBefore w:val="0"/>
        <w:overflowPunct/>
        <w:topLinePunct w:val="0"/>
        <w:bidi w:val="0"/>
        <w:rPr>
          <w:rFonts w:hint="eastAsia"/>
          <w:strike w:val="0"/>
          <w:dstrike w:val="0"/>
          <w:color w:val="auto"/>
          <w:sz w:val="28"/>
          <w:szCs w:val="28"/>
          <w:lang w:val="en-US" w:eastAsia="zh-CN"/>
        </w:rPr>
      </w:pPr>
    </w:p>
    <w:p w14:paraId="15F226AE">
      <w:pPr>
        <w:pageBreakBefore w:val="0"/>
        <w:overflowPunct/>
        <w:topLinePunct w:val="0"/>
        <w:bidi w:val="0"/>
        <w:rPr>
          <w:rFonts w:hint="eastAsia"/>
          <w:strike w:val="0"/>
          <w:dstrike w:val="0"/>
          <w:color w:val="auto"/>
          <w:sz w:val="28"/>
          <w:szCs w:val="28"/>
          <w:lang w:val="en-US" w:eastAsia="zh-CN"/>
        </w:rPr>
      </w:pPr>
    </w:p>
    <w:p w14:paraId="119FE5A8">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pPr>
      <w:bookmarkStart w:id="91" w:name="_Toc12793"/>
      <w:r>
        <w:rPr>
          <w:rFonts w:hint="eastAsia"/>
          <w:b/>
          <w:bCs/>
        </w:rPr>
        <w:t>10</w:t>
      </w:r>
      <w:r>
        <w:rPr>
          <w:rFonts w:hint="eastAsia"/>
          <w:lang w:val="en-US" w:eastAsia="zh-CN"/>
        </w:rPr>
        <w:t xml:space="preserve">  </w:t>
      </w:r>
      <w:r>
        <w:rPr>
          <w:rFonts w:hint="eastAsia"/>
        </w:rPr>
        <w:t>工程验收</w:t>
      </w:r>
      <w:bookmarkEnd w:id="91"/>
    </w:p>
    <w:p w14:paraId="35AAAF81">
      <w:pPr>
        <w:pStyle w:val="27"/>
        <w:bidi w:val="0"/>
        <w:outlineLvl w:val="1"/>
        <w:rPr>
          <w:rFonts w:hint="eastAsia"/>
        </w:rPr>
      </w:pPr>
      <w:bookmarkStart w:id="92" w:name="_Toc24616"/>
      <w:r>
        <w:rPr>
          <w:rFonts w:hint="eastAsia"/>
          <w:b/>
          <w:bCs/>
          <w:lang w:val="en-US" w:eastAsia="zh-CN"/>
        </w:rPr>
        <w:t>10</w:t>
      </w:r>
      <w:r>
        <w:rPr>
          <w:rFonts w:hint="eastAsia"/>
          <w:b/>
          <w:bCs/>
        </w:rPr>
        <w:t>.</w:t>
      </w:r>
      <w:r>
        <w:rPr>
          <w:rFonts w:hint="eastAsia"/>
          <w:b/>
          <w:bCs/>
          <w:lang w:val="en-US" w:eastAsia="zh-CN"/>
        </w:rPr>
        <w:t xml:space="preserve"> </w:t>
      </w:r>
      <w:r>
        <w:rPr>
          <w:rFonts w:hint="eastAsia"/>
          <w:b/>
          <w:bCs/>
        </w:rPr>
        <w:t>1</w:t>
      </w:r>
      <w:r>
        <w:rPr>
          <w:rFonts w:hint="eastAsia"/>
          <w:b/>
          <w:bCs/>
          <w:lang w:val="en-US" w:eastAsia="zh-CN"/>
        </w:rPr>
        <w:t xml:space="preserve">  </w:t>
      </w:r>
      <w:r>
        <w:rPr>
          <w:rFonts w:hint="eastAsia"/>
        </w:rPr>
        <w:t>一般规定</w:t>
      </w:r>
      <w:bookmarkEnd w:id="92"/>
    </w:p>
    <w:p w14:paraId="4F159E66">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10. 1. 1</w:t>
      </w:r>
      <w:r>
        <w:rPr>
          <w:rFonts w:hint="eastAsia"/>
          <w:b/>
          <w:bCs/>
          <w:lang w:val="en-US" w:eastAsia="zh-CN"/>
        </w:rPr>
        <w:t xml:space="preserve">  </w:t>
      </w:r>
      <w:r>
        <w:rPr>
          <w:rFonts w:hint="eastAsia" w:ascii="Times New Roman" w:hAnsi="Times New Roman" w:eastAsia="宋体" w:cs="Times New Roman"/>
          <w:lang w:val="en-US" w:eastAsia="zh-CN"/>
        </w:rPr>
        <w:t>山地光伏电站施工质量验收应按《光伏发电站工程验收规范》GB 50796的规定执行。</w:t>
      </w:r>
    </w:p>
    <w:p w14:paraId="5065F374">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10. 1. 2</w:t>
      </w:r>
      <w:r>
        <w:rPr>
          <w:rFonts w:hint="eastAsia"/>
          <w:b/>
          <w:bCs/>
          <w:lang w:val="en-US" w:eastAsia="zh-CN"/>
        </w:rPr>
        <w:t xml:space="preserve">  </w:t>
      </w:r>
      <w:r>
        <w:rPr>
          <w:rFonts w:hint="eastAsia" w:ascii="Times New Roman" w:hAnsi="Times New Roman" w:eastAsia="宋体" w:cs="Times New Roman"/>
          <w:lang w:val="en-US" w:eastAsia="zh-CN"/>
        </w:rPr>
        <w:t>工程开工前，施工单位结合工程实际情况，参照第10.2节，编制所承担工程的质量验收范围划分表。施工阶段，如设计内容调整或出现其他与本文件划分表内容不符的情况，划分表内容可增加或删减。质量验收范围划分表应报监理单位核准，由监理单位汇总并编制划分说明，明确单位工程数量，经建设单位确认后执行。划分表应进行动态管理。</w:t>
      </w:r>
    </w:p>
    <w:p w14:paraId="0AA7F6CF">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10. 1. 3</w:t>
      </w:r>
      <w:r>
        <w:rPr>
          <w:rFonts w:hint="eastAsia"/>
          <w:b/>
          <w:bCs/>
          <w:lang w:val="en-US" w:eastAsia="zh-CN"/>
        </w:rPr>
        <w:t xml:space="preserve">  </w:t>
      </w:r>
      <w:r>
        <w:rPr>
          <w:rFonts w:hint="eastAsia" w:ascii="Times New Roman" w:hAnsi="Times New Roman" w:eastAsia="宋体" w:cs="Times New Roman"/>
          <w:lang w:val="en-US" w:eastAsia="zh-CN"/>
        </w:rPr>
        <w:t>划分说明包含工程概况、编制说明、编制依据、划分原则、质量验收要求和质量验收流程等。</w:t>
      </w:r>
    </w:p>
    <w:p w14:paraId="162A5367">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10. 1. 4</w:t>
      </w:r>
      <w:r>
        <w:rPr>
          <w:rFonts w:hint="eastAsia"/>
          <w:b/>
          <w:bCs/>
          <w:lang w:val="en-US" w:eastAsia="zh-CN"/>
        </w:rPr>
        <w:t xml:space="preserve">  </w:t>
      </w:r>
      <w:r>
        <w:rPr>
          <w:rFonts w:hint="eastAsia" w:ascii="Times New Roman" w:hAnsi="Times New Roman" w:eastAsia="宋体" w:cs="Times New Roman"/>
          <w:lang w:val="en-US" w:eastAsia="zh-CN"/>
        </w:rPr>
        <w:t>工程质量验收范围按照单位工程（子单位）工程、分部（子分部）工程、分项工程和检验批进行划分。</w:t>
      </w:r>
    </w:p>
    <w:p w14:paraId="23366D2A">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10. 1. 5</w:t>
      </w:r>
      <w:r>
        <w:rPr>
          <w:rFonts w:hint="eastAsia"/>
          <w:b/>
          <w:bCs/>
          <w:lang w:val="en-US" w:eastAsia="zh-CN"/>
        </w:rPr>
        <w:t xml:space="preserve">  </w:t>
      </w:r>
      <w:r>
        <w:rPr>
          <w:rFonts w:hint="eastAsia" w:ascii="Times New Roman" w:hAnsi="Times New Roman" w:eastAsia="宋体" w:cs="Times New Roman"/>
          <w:lang w:val="en-US" w:eastAsia="zh-CN"/>
        </w:rPr>
        <w:t>具有独立施工条件和独立生产使用或结构功能的工程为单位工程。对于规模较大的单位工程，可将其能形成独立使用功能的部分划为一个子单位工程。</w:t>
      </w:r>
    </w:p>
    <w:p w14:paraId="5055D1FF">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10. 1. 6</w:t>
      </w:r>
      <w:r>
        <w:rPr>
          <w:rFonts w:hint="eastAsia"/>
          <w:b/>
          <w:bCs/>
          <w:lang w:val="en-US" w:eastAsia="zh-CN"/>
        </w:rPr>
        <w:t xml:space="preserve">  </w:t>
      </w:r>
      <w:r>
        <w:rPr>
          <w:rFonts w:hint="eastAsia" w:ascii="Times New Roman" w:hAnsi="Times New Roman" w:eastAsia="宋体" w:cs="Times New Roman"/>
          <w:lang w:val="en-US" w:eastAsia="zh-CN"/>
        </w:rPr>
        <w:t>分部工程是单位工程的组成部分，一个单位工程可由若干个分部工程组成，可按施工部位、专业性质及施工特点等划分。当分部工程较大或较复杂时，可按材料种类、施工特点、施工程序、专业系统及类别划分若干个子分部工程。</w:t>
      </w:r>
    </w:p>
    <w:p w14:paraId="17DF347D">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10. 1. 7</w:t>
      </w:r>
      <w:r>
        <w:rPr>
          <w:rFonts w:hint="eastAsia"/>
          <w:b/>
          <w:bCs/>
          <w:lang w:val="en-US" w:eastAsia="zh-CN"/>
        </w:rPr>
        <w:t xml:space="preserve">  </w:t>
      </w:r>
      <w:r>
        <w:rPr>
          <w:rFonts w:hint="eastAsia" w:ascii="Times New Roman" w:hAnsi="Times New Roman" w:eastAsia="宋体" w:cs="Times New Roman"/>
          <w:lang w:val="en-US" w:eastAsia="zh-CN"/>
        </w:rPr>
        <w:t>分项工程是分部工程的组成部分，一个分部工程可由若干个分项工程组成，可根据主要工种、材料、施工工艺、设备类别等进行划分。</w:t>
      </w:r>
    </w:p>
    <w:p w14:paraId="5827B2FC">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10. 1. 8</w:t>
      </w:r>
      <w:r>
        <w:rPr>
          <w:rFonts w:hint="eastAsia"/>
          <w:b/>
          <w:bCs/>
          <w:lang w:val="en-US" w:eastAsia="zh-CN"/>
        </w:rPr>
        <w:t xml:space="preserve">  </w:t>
      </w:r>
      <w:r>
        <w:rPr>
          <w:rFonts w:hint="eastAsia" w:ascii="Times New Roman" w:hAnsi="Times New Roman" w:eastAsia="宋体" w:cs="Times New Roman"/>
          <w:lang w:val="en-US" w:eastAsia="zh-CN"/>
        </w:rPr>
        <w:t>检验批是按照相同的生产条件或按规定的方式汇总起来供抽样检验用的，由一定数量样本组成的检验体。可根据施工及质量控制和专业验收需要，按工程量、楼层、施工段、变形缝等进行划分。</w:t>
      </w:r>
    </w:p>
    <w:p w14:paraId="288EEE04">
      <w:pPr>
        <w:pStyle w:val="27"/>
        <w:bidi w:val="0"/>
        <w:outlineLvl w:val="1"/>
        <w:rPr>
          <w:rFonts w:hint="eastAsia"/>
        </w:rPr>
      </w:pPr>
      <w:bookmarkStart w:id="93" w:name="_Toc16906"/>
      <w:r>
        <w:rPr>
          <w:rFonts w:hint="eastAsia"/>
          <w:b/>
          <w:bCs/>
          <w:lang w:val="en-US" w:eastAsia="zh-CN"/>
        </w:rPr>
        <w:t>10. 2</w:t>
      </w:r>
      <w:r>
        <w:rPr>
          <w:rFonts w:hint="eastAsia"/>
          <w:lang w:val="en-US" w:eastAsia="zh-CN"/>
        </w:rPr>
        <w:t xml:space="preserve">  </w:t>
      </w:r>
      <w:r>
        <w:rPr>
          <w:rFonts w:hint="eastAsia"/>
        </w:rPr>
        <w:t>施工质量验收范围划分</w:t>
      </w:r>
      <w:bookmarkEnd w:id="93"/>
    </w:p>
    <w:p w14:paraId="73C3057D">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10. 2. 1</w:t>
      </w:r>
      <w:r>
        <w:rPr>
          <w:rFonts w:hint="eastAsia"/>
          <w:b/>
          <w:bCs/>
          <w:lang w:val="en-US" w:eastAsia="zh-CN"/>
        </w:rPr>
        <w:t xml:space="preserve">  </w:t>
      </w:r>
      <w:r>
        <w:rPr>
          <w:rFonts w:hint="eastAsia" w:ascii="Times New Roman" w:hAnsi="Times New Roman" w:eastAsia="宋体" w:cs="Times New Roman"/>
          <w:lang w:val="en-US" w:eastAsia="zh-CN"/>
        </w:rPr>
        <w:t>光伏单位工程按照交通工程、升压站建筑工程、升压站电气安装工程、升压站电气调试工程、光伏区土建工程、光伏区安装工程、光伏区调试工程、绿化工程、集电线路工程和送出线路工程等划分。</w:t>
      </w:r>
    </w:p>
    <w:p w14:paraId="6790F28A">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10. 2. 2</w:t>
      </w:r>
      <w:r>
        <w:rPr>
          <w:rFonts w:hint="eastAsia"/>
          <w:b/>
          <w:bCs/>
          <w:lang w:val="en-US" w:eastAsia="zh-CN"/>
        </w:rPr>
        <w:t xml:space="preserve">  </w:t>
      </w:r>
      <w:r>
        <w:rPr>
          <w:rFonts w:hint="eastAsia" w:ascii="Times New Roman" w:hAnsi="Times New Roman" w:eastAsia="宋体" w:cs="Times New Roman"/>
          <w:lang w:val="en-US" w:eastAsia="zh-CN"/>
        </w:rPr>
        <w:t>交通工程施工质量验收范围参照现行行业标准《公路工程质量检验评定标准 第一册 土建工程》JTG F80/1划分，可参考附录A制定。</w:t>
      </w:r>
    </w:p>
    <w:p w14:paraId="54286340">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10. 2. 3</w:t>
      </w:r>
      <w:r>
        <w:rPr>
          <w:rFonts w:hint="eastAsia"/>
          <w:b/>
          <w:bCs/>
          <w:lang w:val="en-US" w:eastAsia="zh-CN"/>
        </w:rPr>
        <w:t xml:space="preserve">  </w:t>
      </w:r>
      <w:r>
        <w:rPr>
          <w:rFonts w:hint="eastAsia" w:ascii="Times New Roman" w:hAnsi="Times New Roman" w:eastAsia="宋体" w:cs="Times New Roman"/>
          <w:lang w:val="en-US" w:eastAsia="zh-CN"/>
        </w:rPr>
        <w:t>升压站建筑工程质量验收范围参照现行行业标准《电力建设施工质量验收规程 第1部分：土建工程》DL/T 5210.1划分，可参考附录B制定。</w:t>
      </w:r>
    </w:p>
    <w:p w14:paraId="3EEBB12D">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10. 2. 4</w:t>
      </w:r>
      <w:r>
        <w:rPr>
          <w:rFonts w:hint="eastAsia"/>
          <w:b/>
          <w:bCs/>
          <w:lang w:val="en-US" w:eastAsia="zh-CN"/>
        </w:rPr>
        <w:t xml:space="preserve">  </w:t>
      </w:r>
      <w:r>
        <w:rPr>
          <w:rFonts w:hint="eastAsia" w:ascii="Times New Roman" w:hAnsi="Times New Roman" w:eastAsia="宋体" w:cs="Times New Roman"/>
          <w:lang w:val="en-US" w:eastAsia="zh-CN"/>
        </w:rPr>
        <w:t>升压站电气安装工程质量验收范围参照现行行业标准《电气装置安装工程质量检验及评定规程 第1部分：通则》DL/T 5161.1划分，可参考附录C制定。</w:t>
      </w:r>
    </w:p>
    <w:p w14:paraId="72369D0D">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10. 2. 5</w:t>
      </w:r>
      <w:r>
        <w:rPr>
          <w:rFonts w:hint="eastAsia"/>
          <w:b/>
          <w:bCs/>
          <w:lang w:val="en-US" w:eastAsia="zh-CN"/>
        </w:rPr>
        <w:t xml:space="preserve">  </w:t>
      </w:r>
      <w:r>
        <w:rPr>
          <w:rFonts w:hint="eastAsia" w:ascii="Times New Roman" w:hAnsi="Times New Roman" w:eastAsia="宋体" w:cs="Times New Roman"/>
          <w:lang w:val="en-US" w:eastAsia="zh-CN"/>
        </w:rPr>
        <w:t>升压站电气调试工程质量验收范围参照现行行业标准《电力建设施工质量验收规程 第6部分：调整试验》DL/T 5210.6划分，可参考附录D制定。</w:t>
      </w:r>
    </w:p>
    <w:p w14:paraId="2CE80EC5">
      <w:pPr>
        <w:pStyle w:val="20"/>
        <w:bidi w:val="0"/>
        <w:rPr>
          <w:rFonts w:hint="eastAsia" w:ascii="Times New Roman" w:hAnsi="Times New Roman" w:eastAsia="宋体" w:cs="Times New Roman"/>
          <w:color w:val="auto"/>
          <w:lang w:val="en-US" w:eastAsia="zh-CN"/>
        </w:rPr>
      </w:pPr>
      <w:r>
        <w:rPr>
          <w:rFonts w:hint="eastAsia" w:ascii="Times New Roman" w:hAnsi="Times New Roman" w:eastAsia="宋体" w:cs="Times New Roman"/>
          <w:b/>
          <w:bCs/>
          <w:color w:val="auto"/>
          <w:lang w:val="en-US" w:eastAsia="zh-CN"/>
        </w:rPr>
        <w:t>10. 2. 6</w:t>
      </w:r>
      <w:r>
        <w:rPr>
          <w:rFonts w:hint="eastAsia"/>
          <w:b/>
          <w:bCs/>
          <w:color w:val="auto"/>
          <w:lang w:val="en-US" w:eastAsia="zh-CN"/>
        </w:rPr>
        <w:t xml:space="preserve">  </w:t>
      </w:r>
      <w:r>
        <w:rPr>
          <w:rFonts w:hint="eastAsia" w:ascii="Times New Roman" w:hAnsi="Times New Roman" w:eastAsia="宋体" w:cs="Times New Roman"/>
          <w:color w:val="auto"/>
          <w:lang w:val="en-US" w:eastAsia="zh-CN"/>
        </w:rPr>
        <w:t>光伏区土建工程质量验收范围参照行行业标准《电力建设施工质量验收规程 第6部分：调整试验》DL/T 5161.6、《电力建设施工质量验收规程 第1部分：土建工程》DL/T</w:t>
      </w:r>
      <w:r>
        <w:rPr>
          <w:rFonts w:hint="eastAsia" w:cs="Times New Roman"/>
          <w:color w:val="auto"/>
          <w:lang w:val="en-US" w:eastAsia="zh-CN"/>
        </w:rPr>
        <w:t xml:space="preserve"> </w:t>
      </w:r>
      <w:r>
        <w:rPr>
          <w:rFonts w:hint="eastAsia" w:ascii="Times New Roman" w:hAnsi="Times New Roman" w:eastAsia="宋体" w:cs="Times New Roman"/>
          <w:color w:val="auto"/>
          <w:lang w:val="en-US" w:eastAsia="zh-CN"/>
        </w:rPr>
        <w:t>5210.1、《光伏发电站土建施工单元工程质量评定标准》NB/T 32047划分，可参考附录E制定。</w:t>
      </w:r>
    </w:p>
    <w:p w14:paraId="62853D75">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10. 2. 7</w:t>
      </w:r>
      <w:r>
        <w:rPr>
          <w:rFonts w:hint="eastAsia"/>
          <w:b/>
          <w:bCs/>
          <w:lang w:val="en-US" w:eastAsia="zh-CN"/>
        </w:rPr>
        <w:t xml:space="preserve">  </w:t>
      </w:r>
      <w:r>
        <w:rPr>
          <w:rFonts w:hint="eastAsia" w:ascii="Times New Roman" w:hAnsi="Times New Roman" w:eastAsia="宋体" w:cs="Times New Roman"/>
          <w:lang w:val="en-US" w:eastAsia="zh-CN"/>
        </w:rPr>
        <w:t>光伏区安装工程质量验收范围参照现行行业标准《电气装置安装工程质量检验及评定规程 第5部分：电缆线路施工质量检验》DL/T 5161.5、《电气装置安装工程质量检验及评定规程 第8部分：盘、柜及二次回路接线施工质量检验》DL/T 5161.8、《电力建设施工质量验收规程 第1部分：土建工程》DL/T</w:t>
      </w:r>
      <w:r>
        <w:rPr>
          <w:rFonts w:hint="eastAsia" w:cs="Times New Roman"/>
          <w:lang w:val="en-US" w:eastAsia="zh-CN"/>
        </w:rPr>
        <w:t xml:space="preserve"> </w:t>
      </w:r>
      <w:r>
        <w:rPr>
          <w:rFonts w:hint="eastAsia" w:ascii="Times New Roman" w:hAnsi="Times New Roman" w:eastAsia="宋体" w:cs="Times New Roman"/>
          <w:lang w:val="en-US" w:eastAsia="zh-CN"/>
        </w:rPr>
        <w:t>5210.1和《光伏发电工程组件及支架安装质量评定标准》NB/T 10320划分，可参考附录F制定。</w:t>
      </w:r>
    </w:p>
    <w:p w14:paraId="758BF184">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10.2.8</w:t>
      </w:r>
      <w:r>
        <w:rPr>
          <w:rFonts w:hint="eastAsia"/>
          <w:b/>
          <w:bCs/>
          <w:lang w:val="en-US" w:eastAsia="zh-CN"/>
        </w:rPr>
        <w:t xml:space="preserve">  </w:t>
      </w:r>
      <w:r>
        <w:rPr>
          <w:rFonts w:hint="eastAsia" w:ascii="Times New Roman" w:hAnsi="Times New Roman" w:eastAsia="宋体" w:cs="Times New Roman"/>
          <w:lang w:val="en-US" w:eastAsia="zh-CN"/>
        </w:rPr>
        <w:t>光伏区调试工程质量验收范围参照现行国家标准《光伏发电站施工规范》GB 50794划分，可参考附录G制定。</w:t>
      </w:r>
    </w:p>
    <w:p w14:paraId="22DD8823">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10. 2. 9</w:t>
      </w:r>
      <w:r>
        <w:rPr>
          <w:rFonts w:hint="eastAsia"/>
          <w:b/>
          <w:bCs/>
          <w:lang w:val="en-US" w:eastAsia="zh-CN"/>
        </w:rPr>
        <w:t xml:space="preserve">  </w:t>
      </w:r>
      <w:r>
        <w:rPr>
          <w:rFonts w:hint="eastAsia" w:ascii="Times New Roman" w:hAnsi="Times New Roman" w:eastAsia="宋体" w:cs="Times New Roman"/>
          <w:lang w:val="en-US" w:eastAsia="zh-CN"/>
        </w:rPr>
        <w:t>绿化工程质量验收范围参照现行行业标准《电力建设施工质量验收规程 第1部分：土建工程》DL/T 5210.1划分，可参考附录H制定。</w:t>
      </w:r>
    </w:p>
    <w:p w14:paraId="687D95E9">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10. 2. 10</w:t>
      </w:r>
      <w:r>
        <w:rPr>
          <w:rFonts w:hint="eastAsia"/>
          <w:b/>
          <w:bCs/>
          <w:lang w:val="en-US" w:eastAsia="zh-CN"/>
        </w:rPr>
        <w:t xml:space="preserve">  </w:t>
      </w:r>
      <w:r>
        <w:rPr>
          <w:rFonts w:hint="eastAsia" w:ascii="Times New Roman" w:hAnsi="Times New Roman" w:eastAsia="宋体" w:cs="Times New Roman"/>
          <w:lang w:val="en-US" w:eastAsia="zh-CN"/>
        </w:rPr>
        <w:t>集电线路工程质量验收范围参照现行国家标准《电气装置安装工程66kV及以下架空电力线路施工及验收规范》GB 50173、现行行业标准《电力建设施工质量验收规程 第1部分：土建工程》DL/T 5210.1和《电力建设施工质量验收规程 第5部分：焊接》DL/T 5210.5划分，可参考附录J制定。</w:t>
      </w:r>
    </w:p>
    <w:p w14:paraId="208C1788">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10. 2. 11</w:t>
      </w:r>
      <w:r>
        <w:rPr>
          <w:rFonts w:hint="eastAsia"/>
          <w:b/>
          <w:bCs/>
          <w:lang w:val="en-US" w:eastAsia="zh-CN"/>
        </w:rPr>
        <w:t xml:space="preserve">  </w:t>
      </w:r>
      <w:r>
        <w:rPr>
          <w:rFonts w:hint="eastAsia" w:ascii="Times New Roman" w:hAnsi="Times New Roman" w:eastAsia="宋体" w:cs="Times New Roman"/>
          <w:lang w:val="en-US" w:eastAsia="zh-CN"/>
        </w:rPr>
        <w:t>送出线路工程质量验收范围参照现行行业标准《110kV 及以上架空输电线路施工质量检验规程》DL/T 5168划分，可参考附录K制定。</w:t>
      </w:r>
    </w:p>
    <w:p w14:paraId="7801E93C">
      <w:pPr>
        <w:pStyle w:val="27"/>
        <w:bidi w:val="0"/>
        <w:outlineLvl w:val="1"/>
      </w:pPr>
      <w:bookmarkStart w:id="94" w:name="_Toc27273"/>
      <w:r>
        <w:rPr>
          <w:rFonts w:hint="eastAsia"/>
          <w:b/>
          <w:bCs/>
          <w:lang w:val="en-US" w:eastAsia="zh-CN"/>
        </w:rPr>
        <w:t>10. 3</w:t>
      </w:r>
      <w:r>
        <w:rPr>
          <w:rFonts w:hint="eastAsia"/>
          <w:lang w:val="en-US" w:eastAsia="zh-CN"/>
        </w:rPr>
        <w:t xml:space="preserve">  </w:t>
      </w:r>
      <w:r>
        <w:rPr>
          <w:rFonts w:hint="eastAsia"/>
        </w:rPr>
        <w:t>施工质量的验收</w:t>
      </w:r>
      <w:bookmarkEnd w:id="94"/>
    </w:p>
    <w:p w14:paraId="61623F8C">
      <w:pPr>
        <w:pStyle w:val="20"/>
        <w:bidi w:val="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10. 3. 1</w:t>
      </w:r>
      <w:r>
        <w:rPr>
          <w:rFonts w:hint="eastAsia"/>
          <w:b/>
          <w:bCs/>
          <w:lang w:val="en-US" w:eastAsia="zh-CN"/>
        </w:rPr>
        <w:t xml:space="preserve">  </w:t>
      </w:r>
      <w:r>
        <w:rPr>
          <w:rFonts w:hint="eastAsia" w:ascii="Times New Roman" w:hAnsi="Times New Roman" w:eastAsia="宋体" w:cs="Times New Roman"/>
          <w:lang w:val="en-US" w:eastAsia="zh-CN"/>
        </w:rPr>
        <w:t>施工质量验收应贯彻“验评分离、强化验收、完善手段、过程控制”的原则，检验批、分项、分部和单位工程质量验收结果应只设“合格”一个质量等级。</w:t>
      </w:r>
    </w:p>
    <w:p w14:paraId="444F8AC0">
      <w:pPr>
        <w:pStyle w:val="20"/>
        <w:bidi w:val="0"/>
        <w:rPr>
          <w:rFonts w:hint="default" w:ascii="Times New Roman" w:hAnsi="Times New Roman" w:eastAsia="宋体" w:cs="Times New Roman"/>
          <w:lang w:val="en-US" w:eastAsia="zh-CN"/>
        </w:rPr>
      </w:pPr>
      <w:bookmarkStart w:id="95" w:name="_Toc84924847"/>
      <w:r>
        <w:rPr>
          <w:rFonts w:hint="eastAsia" w:ascii="Times New Roman" w:hAnsi="Times New Roman" w:eastAsia="宋体" w:cs="Times New Roman"/>
          <w:b/>
          <w:bCs/>
          <w:lang w:val="en-US" w:eastAsia="zh-CN"/>
        </w:rPr>
        <w:t>10. 3. 2</w:t>
      </w:r>
      <w:r>
        <w:rPr>
          <w:rFonts w:hint="eastAsia"/>
          <w:b/>
          <w:bCs/>
          <w:lang w:val="en-US" w:eastAsia="zh-CN"/>
        </w:rPr>
        <w:t xml:space="preserve">  </w:t>
      </w:r>
      <w:r>
        <w:rPr>
          <w:rFonts w:hint="eastAsia" w:ascii="Times New Roman" w:hAnsi="Times New Roman" w:eastAsia="宋体" w:cs="Times New Roman"/>
          <w:lang w:val="en-US" w:eastAsia="zh-CN"/>
        </w:rPr>
        <w:t>工程质量验收的程序</w:t>
      </w:r>
      <w:bookmarkEnd w:id="95"/>
      <w:r>
        <w:rPr>
          <w:rFonts w:hint="eastAsia" w:ascii="Times New Roman" w:hAnsi="Times New Roman" w:eastAsia="宋体" w:cs="Times New Roman"/>
          <w:lang w:val="en-US" w:eastAsia="zh-CN"/>
        </w:rPr>
        <w:t>：</w:t>
      </w:r>
    </w:p>
    <w:p w14:paraId="323274CE">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工程质量验收应在施工单位自检的基础上进行。各级质监人员，应严格执行有关国家标准、行业标准，对工程质量进行检查、验收，并对所检查和验收的工程项目负责。</w:t>
      </w:r>
    </w:p>
    <w:p w14:paraId="259CDFCB">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检验批质量验收记录由施工（总承包）单位项目专业质量检查员（总承包专业工程师）填写，由专业监理工程师组织施工单位项目专业质量检查员等进行验收。勘察、设计单位应参加地基验槽工程验收。</w:t>
      </w:r>
    </w:p>
    <w:p w14:paraId="7F7AA8F7">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3</w:t>
      </w:r>
      <w:r>
        <w:rPr>
          <w:rFonts w:hint="eastAsia"/>
          <w:b/>
          <w:bCs/>
          <w:lang w:val="en-US" w:eastAsia="zh-CN"/>
        </w:rPr>
        <w:t xml:space="preserve">  </w:t>
      </w:r>
      <w:r>
        <w:rPr>
          <w:rFonts w:hint="eastAsia" w:ascii="Times New Roman" w:hAnsi="Times New Roman" w:eastAsia="宋体" w:cs="Times New Roman"/>
          <w:lang w:val="en-US" w:eastAsia="zh-CN"/>
        </w:rPr>
        <w:t>分项工程质量验收应由专业监理工程师组织施工（总承包）单位项目专业技术负责人等进行验收。</w:t>
      </w:r>
    </w:p>
    <w:p w14:paraId="63D3ED2C">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w:t>
      </w:r>
      <w:r>
        <w:rPr>
          <w:rFonts w:hint="eastAsia"/>
          <w:b/>
          <w:bCs/>
          <w:lang w:val="en-US" w:eastAsia="zh-CN"/>
        </w:rPr>
        <w:t xml:space="preserve">  </w:t>
      </w:r>
      <w:r>
        <w:rPr>
          <w:rFonts w:hint="eastAsia" w:ascii="Times New Roman" w:hAnsi="Times New Roman" w:eastAsia="宋体" w:cs="Times New Roman"/>
          <w:lang w:val="en-US" w:eastAsia="zh-CN"/>
        </w:rPr>
        <w:t>分部（子分部）工程质量验收应由总监理工程师组织施工（总承包）单位项目负责人和技术负责人等进行验收。勘察、设计单位项目负责人和施工（总承包）单位项目技术、质量部门负责人应参加地基与基础分部工程验收。设计单位项目负责人和施工（总承包）单位项目技术、质量部门负责人应参加主体结构、节能分部工程的验收。</w:t>
      </w:r>
    </w:p>
    <w:p w14:paraId="57209A9F">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5</w:t>
      </w:r>
      <w:r>
        <w:rPr>
          <w:rFonts w:hint="eastAsia"/>
          <w:b/>
          <w:bCs/>
          <w:lang w:val="en-US" w:eastAsia="zh-CN"/>
        </w:rPr>
        <w:t xml:space="preserve">  </w:t>
      </w:r>
      <w:r>
        <w:rPr>
          <w:rFonts w:hint="eastAsia" w:ascii="Times New Roman" w:hAnsi="Times New Roman" w:eastAsia="宋体" w:cs="Times New Roman"/>
          <w:lang w:val="en-US" w:eastAsia="zh-CN"/>
        </w:rPr>
        <w:t>单位（子单位）工程完工后，施工（总承包）单位应自行组织有关人员进行自检，验收合格后向监理单位提交工程验收申请报告。总监理工程师应组织各专业监理工程师对工程质量进行竣工预验收。预验收合格后向建设单位提交工程验收申请报告。建设单位收到工程验收申请报告后，应由建设单位（项目） 负责人组织监理、施工（总承包）、设计、勘察等单位项目负责人进行单位（子单位）工程验收。</w:t>
      </w:r>
    </w:p>
    <w:p w14:paraId="441995D5">
      <w:pPr>
        <w:pStyle w:val="20"/>
        <w:bidi w:val="0"/>
        <w:rPr>
          <w:rFonts w:hint="eastAsia" w:ascii="Times New Roman" w:hAnsi="Times New Roman" w:eastAsia="宋体" w:cs="Times New Roman"/>
          <w:lang w:val="en-US" w:eastAsia="zh-CN"/>
        </w:rPr>
      </w:pPr>
      <w:bookmarkStart w:id="96" w:name="_Toc84924848"/>
      <w:r>
        <w:rPr>
          <w:rFonts w:hint="eastAsia" w:ascii="Times New Roman" w:hAnsi="Times New Roman" w:eastAsia="宋体" w:cs="Times New Roman"/>
          <w:b/>
          <w:bCs/>
          <w:lang w:val="en-US" w:eastAsia="zh-CN"/>
        </w:rPr>
        <w:t>10. 3. 3</w:t>
      </w:r>
      <w:r>
        <w:rPr>
          <w:rFonts w:hint="eastAsia"/>
          <w:b/>
          <w:bCs/>
          <w:lang w:val="en-US" w:eastAsia="zh-CN"/>
        </w:rPr>
        <w:t xml:space="preserve">  </w:t>
      </w:r>
      <w:r>
        <w:rPr>
          <w:rFonts w:hint="eastAsia" w:ascii="Times New Roman" w:hAnsi="Times New Roman" w:eastAsia="宋体" w:cs="Times New Roman"/>
          <w:lang w:val="en-US" w:eastAsia="zh-CN"/>
        </w:rPr>
        <w:t>合格标准的判定</w:t>
      </w:r>
      <w:bookmarkEnd w:id="96"/>
      <w:r>
        <w:rPr>
          <w:rFonts w:hint="eastAsia" w:ascii="Times New Roman" w:hAnsi="Times New Roman" w:eastAsia="宋体" w:cs="Times New Roman"/>
          <w:lang w:val="en-US" w:eastAsia="zh-CN"/>
        </w:rPr>
        <w:t>：</w:t>
      </w:r>
    </w:p>
    <w:p w14:paraId="47BD5940">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检验批的质量应按主控项目和一般项目验收，检验批质量验收合格应符合下列规定：（1）主控项目的质量经抽样检验均应合格；（2）一般项目的质量经抽样检验合格，其中允许有偏差的项目，除有特殊要求外，每项均应有 80%及以上的检查点符合要求，其余的检查点不得有严重缺陷；（3）具有完整的施工操作依据、质量检查记录。</w:t>
      </w:r>
    </w:p>
    <w:p w14:paraId="6239848A">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分项工程质量验收合格应符合下列规定：（1）分项工程所含的检验批（或各检查项目）质量验收均应合格；（2）分项工程所含检验批（或各检查项目）的质量验收记录应完整。</w:t>
      </w:r>
    </w:p>
    <w:p w14:paraId="036733E9">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3</w:t>
      </w:r>
      <w:r>
        <w:rPr>
          <w:rFonts w:hint="eastAsia"/>
          <w:b/>
          <w:bCs/>
          <w:lang w:val="en-US" w:eastAsia="zh-CN"/>
        </w:rPr>
        <w:t xml:space="preserve">  </w:t>
      </w:r>
      <w:r>
        <w:rPr>
          <w:rFonts w:hint="eastAsia" w:ascii="Times New Roman" w:hAnsi="Times New Roman" w:eastAsia="宋体" w:cs="Times New Roman"/>
          <w:lang w:val="en-US" w:eastAsia="zh-CN"/>
        </w:rPr>
        <w:t>分部（子分部）工程质量验收合格应符合下列规定：（1）分部（子分部）工程所含分项工程的质量验收均应合格；（2）工程质量控制资料应真实、准确、齐全；（3）有关安全、节能、环境保护和主要使用功能（若有）的抽样检验结果应符合有关规定；（4）观感质量验收（若有）应符合要求。</w:t>
      </w:r>
    </w:p>
    <w:p w14:paraId="5E4D4AA2">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4</w:t>
      </w:r>
      <w:r>
        <w:rPr>
          <w:rFonts w:hint="eastAsia"/>
          <w:b/>
          <w:bCs/>
          <w:lang w:val="en-US" w:eastAsia="zh-CN"/>
        </w:rPr>
        <w:t xml:space="preserve">  </w:t>
      </w:r>
      <w:r>
        <w:rPr>
          <w:rFonts w:hint="eastAsia" w:ascii="Times New Roman" w:hAnsi="Times New Roman" w:eastAsia="宋体" w:cs="Times New Roman"/>
          <w:lang w:val="en-US" w:eastAsia="zh-CN"/>
        </w:rPr>
        <w:t>单位（子单位）工程质量验收合格应符合下列规定：（1）单位（子单位）工程所含分部（子分部）工程的质量验收均应合格；（2）工程质量控制资料应真实、准确、齐全；（3）所含分部（子分部）工程有关安全、节能、环境保护和主要使用功能的检验资料应完整；（4）主要功能项目的抽查结果应符合相关专业质量验收标准的规定；（5）观感质量验收应符合要求。</w:t>
      </w:r>
    </w:p>
    <w:p w14:paraId="685D2291">
      <w:pPr>
        <w:pStyle w:val="20"/>
        <w:bidi w:val="0"/>
        <w:rPr>
          <w:rFonts w:hint="eastAsia" w:ascii="Times New Roman" w:hAnsi="Times New Roman" w:eastAsia="宋体" w:cs="Times New Roman"/>
          <w:lang w:val="en-US" w:eastAsia="zh-CN"/>
        </w:rPr>
      </w:pPr>
      <w:bookmarkStart w:id="97" w:name="_Toc84924849"/>
      <w:r>
        <w:rPr>
          <w:rFonts w:hint="eastAsia" w:ascii="Times New Roman" w:hAnsi="Times New Roman" w:eastAsia="宋体" w:cs="Times New Roman"/>
          <w:b/>
          <w:bCs/>
          <w:lang w:val="en-US" w:eastAsia="zh-CN"/>
        </w:rPr>
        <w:t>10. 3. 4</w:t>
      </w:r>
      <w:r>
        <w:rPr>
          <w:rFonts w:hint="eastAsia"/>
          <w:b/>
          <w:bCs/>
          <w:lang w:val="en-US" w:eastAsia="zh-CN"/>
        </w:rPr>
        <w:t xml:space="preserve">  </w:t>
      </w:r>
      <w:r>
        <w:rPr>
          <w:rFonts w:hint="eastAsia" w:ascii="Times New Roman" w:hAnsi="Times New Roman" w:eastAsia="宋体" w:cs="Times New Roman"/>
          <w:lang w:val="en-US" w:eastAsia="zh-CN"/>
        </w:rPr>
        <w:t>工程质量不符合要求时的规定</w:t>
      </w:r>
      <w:bookmarkEnd w:id="97"/>
      <w:r>
        <w:rPr>
          <w:rFonts w:hint="eastAsia" w:ascii="Times New Roman" w:hAnsi="Times New Roman" w:eastAsia="宋体" w:cs="Times New Roman"/>
          <w:lang w:val="en-US" w:eastAsia="zh-CN"/>
        </w:rPr>
        <w:t>：</w:t>
      </w:r>
    </w:p>
    <w:p w14:paraId="6A1E58D8">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1</w:t>
      </w:r>
      <w:r>
        <w:rPr>
          <w:rFonts w:hint="eastAsia"/>
          <w:b/>
          <w:bCs/>
          <w:lang w:val="en-US" w:eastAsia="zh-CN"/>
        </w:rPr>
        <w:t xml:space="preserve">  </w:t>
      </w:r>
      <w:r>
        <w:rPr>
          <w:rFonts w:hint="eastAsia" w:ascii="Times New Roman" w:hAnsi="Times New Roman" w:eastAsia="宋体" w:cs="Times New Roman"/>
          <w:lang w:val="en-US" w:eastAsia="zh-CN"/>
        </w:rPr>
        <w:t>对质量验收结果有分歧时，各级质监人员均有权要求进行复检。复检时，各级有关质监人员均应参加，复检结果应作为最终质量验收结果。</w:t>
      </w:r>
    </w:p>
    <w:p w14:paraId="587D3715">
      <w:pPr>
        <w:pStyle w:val="20"/>
        <w:bidi w:val="0"/>
        <w:ind w:firstLine="562" w:firstLineChars="200"/>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2</w:t>
      </w:r>
      <w:r>
        <w:rPr>
          <w:rFonts w:hint="eastAsia"/>
          <w:b/>
          <w:bCs/>
          <w:lang w:val="en-US" w:eastAsia="zh-CN"/>
        </w:rPr>
        <w:t xml:space="preserve">  </w:t>
      </w:r>
      <w:r>
        <w:rPr>
          <w:rFonts w:hint="eastAsia" w:ascii="Times New Roman" w:hAnsi="Times New Roman" w:eastAsia="宋体" w:cs="Times New Roman"/>
          <w:lang w:val="en-US" w:eastAsia="zh-CN"/>
        </w:rPr>
        <w:t>经返工或返修的检验批，应重新验收。经有资质的检测单位检测鉴定达到设计要求的检验批，应予以验收。 经有资质的检测单位检测鉴定达不到设计要求、但经原设计单位核算认可满足结构安全和使用功能的检验批，可予以验收。经返修或加固处理的分项、分部工程，满足安全及使用功能要求时，可按技术处理方案和协商文件 的要求验收。 经返修或加固处理仍不能满足安全使用功能的分部工程、单位（子单位）工程，严禁验收。</w:t>
      </w:r>
    </w:p>
    <w:p w14:paraId="0C3C58F2">
      <w:pPr>
        <w:pStyle w:val="20"/>
        <w:bidi w:val="0"/>
        <w:rPr>
          <w:rFonts w:hint="eastAsia" w:ascii="Times New Roman" w:hAnsi="Times New Roman" w:eastAsia="宋体" w:cs="Times New Roman"/>
          <w:lang w:val="en-US" w:eastAsia="zh-CN"/>
        </w:rPr>
        <w:sectPr>
          <w:footerReference r:id="rId7" w:type="default"/>
          <w:pgSz w:w="11906" w:h="16838"/>
          <w:pgMar w:top="1440" w:right="1531" w:bottom="1440" w:left="1531" w:header="851" w:footer="992" w:gutter="0"/>
          <w:pgBorders w:offsetFrom="page">
            <w:top w:val="none" w:sz="0" w:space="0"/>
            <w:left w:val="none" w:sz="0" w:space="0"/>
            <w:bottom w:val="none" w:sz="0" w:space="0"/>
            <w:right w:val="none" w:sz="0" w:space="0"/>
          </w:pgBorders>
          <w:pgNumType w:fmt="decimal" w:start="1"/>
          <w:cols w:space="425" w:num="1"/>
          <w:docGrid w:type="lines" w:linePitch="312" w:charSpace="0"/>
        </w:sectPr>
      </w:pPr>
    </w:p>
    <w:p w14:paraId="3A5F8BB4">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pPr>
      <w:bookmarkStart w:id="98" w:name="_Toc89599144"/>
      <w:bookmarkStart w:id="99" w:name="_Toc92737146"/>
      <w:bookmarkStart w:id="100" w:name="_Toc3146"/>
      <w:r>
        <w:rPr>
          <w:rFonts w:hint="eastAsia"/>
        </w:rPr>
        <w:t>附录A</w:t>
      </w:r>
      <w:r>
        <w:rPr>
          <w:rFonts w:hint="eastAsia"/>
          <w:lang w:val="en-US" w:eastAsia="zh-CN"/>
        </w:rPr>
        <w:t xml:space="preserve">  </w:t>
      </w:r>
      <w:r>
        <w:rPr>
          <w:rFonts w:hint="eastAsia"/>
        </w:rPr>
        <w:t>交通工程质量验收范围划分表</w:t>
      </w:r>
      <w:bookmarkEnd w:id="98"/>
      <w:bookmarkEnd w:id="99"/>
      <w:bookmarkEnd w:id="100"/>
    </w:p>
    <w:p w14:paraId="21DFF9A7">
      <w:pPr>
        <w:spacing w:line="240" w:lineRule="auto"/>
        <w:jc w:val="center"/>
        <w:rPr>
          <w:rFonts w:hint="eastAsia" w:ascii="黑体" w:hAnsi="黑体" w:eastAsia="黑体" w:cs="黑体"/>
          <w:sz w:val="28"/>
          <w:szCs w:val="28"/>
        </w:rPr>
      </w:pPr>
      <w:r>
        <w:rPr>
          <w:rFonts w:hint="eastAsia" w:ascii="黑体" w:hAnsi="黑体" w:eastAsia="黑体" w:cs="黑体"/>
          <w:sz w:val="28"/>
          <w:szCs w:val="28"/>
        </w:rPr>
        <w:t>表</w:t>
      </w:r>
      <w:r>
        <w:rPr>
          <w:rFonts w:hint="default" w:ascii="Times New Roman" w:hAnsi="Times New Roman" w:eastAsia="黑体" w:cs="Times New Roman"/>
          <w:b/>
          <w:bCs/>
          <w:sz w:val="28"/>
          <w:szCs w:val="28"/>
        </w:rPr>
        <w:t>A</w:t>
      </w:r>
      <w:r>
        <w:rPr>
          <w:rFonts w:hint="eastAsia" w:eastAsia="黑体"/>
          <w:b w:val="0"/>
          <w:bCs w:val="0"/>
          <w:color w:val="auto"/>
          <w:szCs w:val="28"/>
          <w:lang w:val="en-US" w:eastAsia="zh-CN"/>
        </w:rPr>
        <w:t xml:space="preserve">    </w:t>
      </w:r>
      <w:r>
        <w:rPr>
          <w:rFonts w:hint="eastAsia" w:ascii="黑体" w:hAnsi="黑体" w:eastAsia="黑体" w:cs="黑体"/>
          <w:sz w:val="28"/>
          <w:szCs w:val="28"/>
        </w:rPr>
        <w:t>交通工程质量验收范围划分表</w:t>
      </w:r>
    </w:p>
    <w:tbl>
      <w:tblPr>
        <w:tblStyle w:val="13"/>
        <w:tblW w:w="139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94"/>
        <w:gridCol w:w="1173"/>
        <w:gridCol w:w="697"/>
        <w:gridCol w:w="1046"/>
        <w:gridCol w:w="709"/>
        <w:gridCol w:w="1843"/>
        <w:gridCol w:w="709"/>
        <w:gridCol w:w="1701"/>
        <w:gridCol w:w="5500"/>
      </w:tblGrid>
      <w:tr w14:paraId="2C36F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94" w:type="dxa"/>
            <w:vMerge w:val="restart"/>
            <w:vAlign w:val="center"/>
          </w:tcPr>
          <w:p w14:paraId="3A0C6CA3">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173" w:type="dxa"/>
            <w:vMerge w:val="restart"/>
            <w:vAlign w:val="center"/>
          </w:tcPr>
          <w:p w14:paraId="72BF8FF4">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单位工程</w:t>
            </w:r>
          </w:p>
        </w:tc>
        <w:tc>
          <w:tcPr>
            <w:tcW w:w="1743" w:type="dxa"/>
            <w:gridSpan w:val="2"/>
            <w:vAlign w:val="center"/>
          </w:tcPr>
          <w:p w14:paraId="1E73710F">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子单位工程</w:t>
            </w:r>
          </w:p>
        </w:tc>
        <w:tc>
          <w:tcPr>
            <w:tcW w:w="2552" w:type="dxa"/>
            <w:gridSpan w:val="2"/>
            <w:vAlign w:val="center"/>
          </w:tcPr>
          <w:p w14:paraId="0D017BBD">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分部工程</w:t>
            </w:r>
          </w:p>
        </w:tc>
        <w:tc>
          <w:tcPr>
            <w:tcW w:w="2410" w:type="dxa"/>
            <w:gridSpan w:val="2"/>
            <w:vAlign w:val="center"/>
          </w:tcPr>
          <w:p w14:paraId="0DE958F6">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子分部工程</w:t>
            </w:r>
          </w:p>
        </w:tc>
        <w:tc>
          <w:tcPr>
            <w:tcW w:w="5500" w:type="dxa"/>
            <w:vMerge w:val="restart"/>
            <w:tcBorders>
              <w:top w:val="single" w:color="auto" w:sz="4" w:space="0"/>
              <w:right w:val="single" w:color="auto" w:sz="4" w:space="0"/>
            </w:tcBorders>
            <w:shd w:val="clear" w:color="auto" w:fill="auto"/>
            <w:vAlign w:val="center"/>
          </w:tcPr>
          <w:p w14:paraId="11D62CBE">
            <w:pPr>
              <w:widowControl/>
              <w:numPr>
                <w:ilvl w:val="0"/>
                <w:numId w:val="0"/>
              </w:numPr>
              <w:tabs>
                <w:tab w:val="left" w:pos="360"/>
              </w:tabs>
              <w:adjustRightInd/>
              <w:snapToGrid/>
              <w:spacing w:line="240" w:lineRule="auto"/>
              <w:ind w:left="0" w:firstLine="0"/>
              <w:jc w:val="center"/>
              <w:rPr>
                <w:rFonts w:ascii="宋体"/>
                <w:sz w:val="21"/>
                <w:szCs w:val="21"/>
              </w:rPr>
            </w:pPr>
            <w:r>
              <w:rPr>
                <w:rFonts w:hint="eastAsia" w:ascii="宋体"/>
                <w:sz w:val="21"/>
                <w:szCs w:val="21"/>
              </w:rPr>
              <w:t>分项工程</w:t>
            </w:r>
          </w:p>
        </w:tc>
      </w:tr>
      <w:tr w14:paraId="220FE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94" w:type="dxa"/>
            <w:vMerge w:val="continue"/>
            <w:vAlign w:val="center"/>
          </w:tcPr>
          <w:p w14:paraId="1B73DAE0">
            <w:pPr>
              <w:numPr>
                <w:ilvl w:val="0"/>
                <w:numId w:val="0"/>
              </w:numPr>
              <w:tabs>
                <w:tab w:val="left" w:pos="360"/>
              </w:tabs>
              <w:spacing w:line="240" w:lineRule="auto"/>
              <w:ind w:left="0" w:firstLine="0"/>
              <w:jc w:val="center"/>
              <w:rPr>
                <w:rFonts w:ascii="宋体"/>
                <w:sz w:val="21"/>
                <w:szCs w:val="21"/>
              </w:rPr>
            </w:pPr>
          </w:p>
        </w:tc>
        <w:tc>
          <w:tcPr>
            <w:tcW w:w="1173" w:type="dxa"/>
            <w:vMerge w:val="continue"/>
            <w:vAlign w:val="center"/>
          </w:tcPr>
          <w:p w14:paraId="7C126339">
            <w:pPr>
              <w:numPr>
                <w:ilvl w:val="0"/>
                <w:numId w:val="0"/>
              </w:numPr>
              <w:tabs>
                <w:tab w:val="left" w:pos="360"/>
              </w:tabs>
              <w:spacing w:line="240" w:lineRule="auto"/>
              <w:ind w:left="0" w:firstLine="0"/>
              <w:jc w:val="center"/>
              <w:rPr>
                <w:rFonts w:ascii="宋体"/>
                <w:sz w:val="21"/>
                <w:szCs w:val="21"/>
              </w:rPr>
            </w:pPr>
          </w:p>
        </w:tc>
        <w:tc>
          <w:tcPr>
            <w:tcW w:w="697" w:type="dxa"/>
            <w:vAlign w:val="center"/>
          </w:tcPr>
          <w:p w14:paraId="650F070B">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046" w:type="dxa"/>
            <w:vAlign w:val="center"/>
          </w:tcPr>
          <w:p w14:paraId="2C4CE60B">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709" w:type="dxa"/>
            <w:vAlign w:val="center"/>
          </w:tcPr>
          <w:p w14:paraId="10D4C9F9">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843" w:type="dxa"/>
            <w:vAlign w:val="center"/>
          </w:tcPr>
          <w:p w14:paraId="589CAB58">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709" w:type="dxa"/>
            <w:vAlign w:val="center"/>
          </w:tcPr>
          <w:p w14:paraId="2C64300F">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701" w:type="dxa"/>
            <w:vAlign w:val="center"/>
          </w:tcPr>
          <w:p w14:paraId="2A3062EC">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5500" w:type="dxa"/>
            <w:vMerge w:val="continue"/>
            <w:tcBorders>
              <w:right w:val="single" w:color="auto" w:sz="4" w:space="0"/>
            </w:tcBorders>
            <w:vAlign w:val="center"/>
          </w:tcPr>
          <w:p w14:paraId="18A0B6BD">
            <w:pPr>
              <w:numPr>
                <w:ilvl w:val="0"/>
                <w:numId w:val="0"/>
              </w:numPr>
              <w:tabs>
                <w:tab w:val="left" w:pos="360"/>
              </w:tabs>
              <w:spacing w:line="240" w:lineRule="auto"/>
              <w:ind w:left="0" w:firstLine="0"/>
              <w:jc w:val="center"/>
              <w:rPr>
                <w:rFonts w:ascii="宋体"/>
                <w:sz w:val="21"/>
                <w:szCs w:val="21"/>
              </w:rPr>
            </w:pPr>
          </w:p>
        </w:tc>
      </w:tr>
      <w:tr w14:paraId="110BB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4" w:type="dxa"/>
            <w:vMerge w:val="restart"/>
            <w:vAlign w:val="center"/>
          </w:tcPr>
          <w:p w14:paraId="25FD5AE6">
            <w:pPr>
              <w:numPr>
                <w:ilvl w:val="0"/>
                <w:numId w:val="0"/>
              </w:numPr>
              <w:tabs>
                <w:tab w:val="left" w:pos="360"/>
              </w:tabs>
              <w:spacing w:line="240" w:lineRule="auto"/>
              <w:ind w:left="0" w:firstLine="0"/>
              <w:jc w:val="center"/>
              <w:rPr>
                <w:rFonts w:ascii="宋体"/>
                <w:sz w:val="21"/>
                <w:szCs w:val="21"/>
              </w:rPr>
            </w:pPr>
            <w:r>
              <w:rPr>
                <w:rFonts w:ascii="宋体"/>
                <w:sz w:val="21"/>
                <w:szCs w:val="21"/>
              </w:rPr>
              <w:t>01</w:t>
            </w:r>
          </w:p>
        </w:tc>
        <w:tc>
          <w:tcPr>
            <w:tcW w:w="1173" w:type="dxa"/>
            <w:vMerge w:val="restart"/>
            <w:vAlign w:val="center"/>
          </w:tcPr>
          <w:p w14:paraId="54FF0F7A">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交通工程</w:t>
            </w:r>
          </w:p>
        </w:tc>
        <w:tc>
          <w:tcPr>
            <w:tcW w:w="697" w:type="dxa"/>
            <w:vMerge w:val="restart"/>
            <w:vAlign w:val="center"/>
          </w:tcPr>
          <w:p w14:paraId="267222C5">
            <w:pPr>
              <w:numPr>
                <w:ilvl w:val="0"/>
                <w:numId w:val="0"/>
              </w:numPr>
              <w:tabs>
                <w:tab w:val="left" w:pos="360"/>
              </w:tabs>
              <w:spacing w:line="240" w:lineRule="auto"/>
              <w:ind w:left="0" w:firstLine="0"/>
              <w:jc w:val="center"/>
              <w:rPr>
                <w:rFonts w:ascii="宋体"/>
                <w:sz w:val="21"/>
                <w:szCs w:val="21"/>
              </w:rPr>
            </w:pPr>
            <w:r>
              <w:rPr>
                <w:rFonts w:ascii="宋体"/>
                <w:sz w:val="21"/>
                <w:szCs w:val="21"/>
              </w:rPr>
              <w:t>01~N</w:t>
            </w:r>
          </w:p>
        </w:tc>
        <w:tc>
          <w:tcPr>
            <w:tcW w:w="1046" w:type="dxa"/>
            <w:vMerge w:val="restart"/>
            <w:vAlign w:val="center"/>
          </w:tcPr>
          <w:p w14:paraId="7653DE4A">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N号道路（支路）</w:t>
            </w:r>
          </w:p>
        </w:tc>
        <w:tc>
          <w:tcPr>
            <w:tcW w:w="709" w:type="dxa"/>
            <w:vMerge w:val="restart"/>
            <w:vAlign w:val="center"/>
          </w:tcPr>
          <w:p w14:paraId="432E2E09">
            <w:pPr>
              <w:widowControl/>
              <w:numPr>
                <w:ilvl w:val="0"/>
                <w:numId w:val="0"/>
              </w:numPr>
              <w:tabs>
                <w:tab w:val="left" w:pos="360"/>
              </w:tabs>
              <w:spacing w:line="240" w:lineRule="auto"/>
              <w:ind w:left="0" w:firstLine="0"/>
              <w:jc w:val="center"/>
              <w:textAlignment w:val="top"/>
              <w:rPr>
                <w:rFonts w:ascii="宋体" w:hAnsi="宋体" w:cs="宋体"/>
                <w:color w:val="000000"/>
                <w:sz w:val="21"/>
                <w:szCs w:val="21"/>
              </w:rPr>
            </w:pPr>
            <w:r>
              <w:rPr>
                <w:rFonts w:ascii="宋体" w:hAnsi="宋体" w:cs="宋体"/>
                <w:color w:val="000000"/>
                <w:kern w:val="0"/>
                <w:sz w:val="21"/>
                <w:szCs w:val="21"/>
              </w:rPr>
              <w:t>01</w:t>
            </w:r>
          </w:p>
        </w:tc>
        <w:tc>
          <w:tcPr>
            <w:tcW w:w="1843" w:type="dxa"/>
            <w:vMerge w:val="restart"/>
            <w:vAlign w:val="center"/>
          </w:tcPr>
          <w:p w14:paraId="27EA5DA2">
            <w:pPr>
              <w:widowControl/>
              <w:numPr>
                <w:ilvl w:val="0"/>
                <w:numId w:val="0"/>
              </w:numPr>
              <w:tabs>
                <w:tab w:val="left" w:pos="360"/>
              </w:tabs>
              <w:spacing w:line="240" w:lineRule="auto"/>
              <w:ind w:left="0" w:firstLine="0"/>
              <w:jc w:val="center"/>
              <w:textAlignment w:val="top"/>
              <w:rPr>
                <w:rFonts w:ascii="宋体" w:hAnsi="宋体" w:cs="宋体"/>
                <w:color w:val="000000"/>
                <w:kern w:val="0"/>
                <w:sz w:val="21"/>
                <w:szCs w:val="21"/>
              </w:rPr>
            </w:pPr>
            <w:r>
              <w:rPr>
                <w:rFonts w:hint="eastAsia" w:ascii="宋体" w:hAnsi="宋体" w:cs="宋体"/>
                <w:color w:val="000000"/>
                <w:kern w:val="0"/>
                <w:sz w:val="21"/>
                <w:szCs w:val="21"/>
              </w:rPr>
              <w:t>路基工程</w:t>
            </w:r>
          </w:p>
          <w:p w14:paraId="15738F4F">
            <w:pPr>
              <w:widowControl/>
              <w:numPr>
                <w:ilvl w:val="0"/>
                <w:numId w:val="0"/>
              </w:numPr>
              <w:tabs>
                <w:tab w:val="left" w:pos="360"/>
              </w:tabs>
              <w:spacing w:line="240" w:lineRule="auto"/>
              <w:ind w:left="0" w:firstLine="0"/>
              <w:jc w:val="center"/>
              <w:textAlignment w:val="top"/>
              <w:rPr>
                <w:rFonts w:ascii="宋体" w:hAnsi="宋体" w:cs="宋体"/>
                <w:color w:val="00000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10km或每标段）</w:t>
            </w:r>
          </w:p>
        </w:tc>
        <w:tc>
          <w:tcPr>
            <w:tcW w:w="709" w:type="dxa"/>
            <w:vAlign w:val="center"/>
          </w:tcPr>
          <w:p w14:paraId="51B76EBA">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ascii="宋体" w:hAnsi="宋体" w:cs="宋体"/>
                <w:color w:val="000000"/>
                <w:kern w:val="0"/>
                <w:sz w:val="21"/>
                <w:szCs w:val="21"/>
              </w:rPr>
              <w:t>01</w:t>
            </w:r>
          </w:p>
        </w:tc>
        <w:tc>
          <w:tcPr>
            <w:tcW w:w="1701" w:type="dxa"/>
            <w:vAlign w:val="center"/>
          </w:tcPr>
          <w:p w14:paraId="05C91235">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hint="eastAsia" w:ascii="宋体" w:hAnsi="宋体" w:cs="宋体"/>
                <w:color w:val="000000"/>
                <w:kern w:val="0"/>
                <w:sz w:val="21"/>
                <w:szCs w:val="21"/>
              </w:rPr>
              <w:t>路基土石方工程（</w:t>
            </w:r>
            <w:r>
              <w:rPr>
                <w:rFonts w:ascii="宋体" w:hAnsi="宋体" w:cs="宋体"/>
                <w:color w:val="000000"/>
                <w:kern w:val="0"/>
                <w:sz w:val="21"/>
                <w:szCs w:val="21"/>
              </w:rPr>
              <w:t>1-3km路段）</w:t>
            </w:r>
          </w:p>
        </w:tc>
        <w:tc>
          <w:tcPr>
            <w:tcW w:w="5500" w:type="dxa"/>
            <w:vAlign w:val="center"/>
          </w:tcPr>
          <w:p w14:paraId="23E55F96">
            <w:pPr>
              <w:widowControl/>
              <w:numPr>
                <w:ilvl w:val="0"/>
                <w:numId w:val="0"/>
              </w:numPr>
              <w:tabs>
                <w:tab w:val="left" w:pos="360"/>
              </w:tabs>
              <w:spacing w:line="240" w:lineRule="auto"/>
              <w:ind w:left="0" w:firstLine="0"/>
              <w:jc w:val="left"/>
              <w:textAlignment w:val="center"/>
              <w:rPr>
                <w:rFonts w:ascii="宋体" w:hAnsi="宋体" w:cs="宋体"/>
                <w:color w:val="000000"/>
                <w:sz w:val="21"/>
                <w:szCs w:val="21"/>
              </w:rPr>
            </w:pPr>
            <w:r>
              <w:rPr>
                <w:rFonts w:hint="eastAsia" w:ascii="宋体" w:hAnsi="宋体" w:cs="宋体"/>
                <w:color w:val="000000"/>
                <w:kern w:val="0"/>
                <w:sz w:val="21"/>
                <w:szCs w:val="21"/>
              </w:rPr>
              <w:t>土方路基、填石路基、软土地基处置、土工合成材料处置层</w:t>
            </w:r>
          </w:p>
        </w:tc>
      </w:tr>
      <w:tr w14:paraId="23FFC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4" w:type="dxa"/>
            <w:vMerge w:val="continue"/>
            <w:vAlign w:val="center"/>
          </w:tcPr>
          <w:p w14:paraId="5DC44AE3">
            <w:pPr>
              <w:numPr>
                <w:ilvl w:val="0"/>
                <w:numId w:val="0"/>
              </w:numPr>
              <w:tabs>
                <w:tab w:val="left" w:pos="360"/>
              </w:tabs>
              <w:spacing w:line="240" w:lineRule="auto"/>
              <w:ind w:left="0" w:firstLine="0"/>
              <w:jc w:val="center"/>
              <w:rPr>
                <w:rFonts w:ascii="宋体"/>
                <w:sz w:val="21"/>
                <w:szCs w:val="21"/>
              </w:rPr>
            </w:pPr>
          </w:p>
        </w:tc>
        <w:tc>
          <w:tcPr>
            <w:tcW w:w="1173" w:type="dxa"/>
            <w:vMerge w:val="continue"/>
            <w:vAlign w:val="center"/>
          </w:tcPr>
          <w:p w14:paraId="537A8268">
            <w:pPr>
              <w:numPr>
                <w:ilvl w:val="0"/>
                <w:numId w:val="0"/>
              </w:numPr>
              <w:tabs>
                <w:tab w:val="left" w:pos="360"/>
              </w:tabs>
              <w:spacing w:line="240" w:lineRule="auto"/>
              <w:ind w:left="0" w:firstLine="0"/>
              <w:jc w:val="center"/>
              <w:rPr>
                <w:rFonts w:ascii="宋体"/>
                <w:sz w:val="21"/>
                <w:szCs w:val="21"/>
              </w:rPr>
            </w:pPr>
          </w:p>
        </w:tc>
        <w:tc>
          <w:tcPr>
            <w:tcW w:w="697" w:type="dxa"/>
            <w:vMerge w:val="continue"/>
            <w:vAlign w:val="center"/>
          </w:tcPr>
          <w:p w14:paraId="0FB00720">
            <w:pPr>
              <w:numPr>
                <w:ilvl w:val="0"/>
                <w:numId w:val="0"/>
              </w:numPr>
              <w:tabs>
                <w:tab w:val="left" w:pos="360"/>
              </w:tabs>
              <w:spacing w:line="240" w:lineRule="auto"/>
              <w:ind w:left="0" w:firstLine="0"/>
              <w:jc w:val="center"/>
              <w:rPr>
                <w:rFonts w:ascii="宋体"/>
                <w:sz w:val="21"/>
                <w:szCs w:val="21"/>
              </w:rPr>
            </w:pPr>
          </w:p>
        </w:tc>
        <w:tc>
          <w:tcPr>
            <w:tcW w:w="1046" w:type="dxa"/>
            <w:vMerge w:val="continue"/>
            <w:vAlign w:val="center"/>
          </w:tcPr>
          <w:p w14:paraId="4D3156F7">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4207028B">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0C275FE4">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p>
        </w:tc>
        <w:tc>
          <w:tcPr>
            <w:tcW w:w="709" w:type="dxa"/>
            <w:vAlign w:val="center"/>
          </w:tcPr>
          <w:p w14:paraId="7AEF7131">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ascii="宋体" w:hAnsi="宋体" w:cs="宋体"/>
                <w:color w:val="000000"/>
                <w:kern w:val="0"/>
                <w:sz w:val="21"/>
                <w:szCs w:val="21"/>
              </w:rPr>
              <w:t>02</w:t>
            </w:r>
          </w:p>
        </w:tc>
        <w:tc>
          <w:tcPr>
            <w:tcW w:w="1701" w:type="dxa"/>
            <w:vAlign w:val="center"/>
          </w:tcPr>
          <w:p w14:paraId="6FF237B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排水工程</w:t>
            </w:r>
          </w:p>
          <w:p w14:paraId="7095E1B4">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1-3km路段）</w:t>
            </w:r>
          </w:p>
        </w:tc>
        <w:tc>
          <w:tcPr>
            <w:tcW w:w="5500" w:type="dxa"/>
            <w:vAlign w:val="center"/>
          </w:tcPr>
          <w:p w14:paraId="7D4A98D2">
            <w:pPr>
              <w:widowControl/>
              <w:numPr>
                <w:ilvl w:val="0"/>
                <w:numId w:val="0"/>
              </w:numPr>
              <w:tabs>
                <w:tab w:val="left" w:pos="360"/>
              </w:tabs>
              <w:spacing w:line="240" w:lineRule="auto"/>
              <w:ind w:left="0" w:firstLine="0"/>
              <w:jc w:val="left"/>
              <w:textAlignment w:val="center"/>
              <w:rPr>
                <w:rFonts w:ascii="宋体" w:hAnsi="宋体" w:cs="宋体"/>
                <w:color w:val="000000"/>
                <w:sz w:val="21"/>
                <w:szCs w:val="21"/>
              </w:rPr>
            </w:pPr>
            <w:r>
              <w:rPr>
                <w:rFonts w:hint="eastAsia" w:ascii="宋体" w:hAnsi="宋体" w:cs="宋体"/>
                <w:color w:val="000000"/>
                <w:kern w:val="0"/>
                <w:sz w:val="21"/>
                <w:szCs w:val="21"/>
              </w:rPr>
              <w:t>管节预制、混凝土排水管安装、土沟、浆砌水沟</w:t>
            </w:r>
          </w:p>
        </w:tc>
      </w:tr>
      <w:tr w14:paraId="26CDA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4" w:type="dxa"/>
            <w:vMerge w:val="continue"/>
            <w:vAlign w:val="center"/>
          </w:tcPr>
          <w:p w14:paraId="722D3D62">
            <w:pPr>
              <w:numPr>
                <w:ilvl w:val="0"/>
                <w:numId w:val="0"/>
              </w:numPr>
              <w:tabs>
                <w:tab w:val="left" w:pos="360"/>
              </w:tabs>
              <w:spacing w:line="240" w:lineRule="auto"/>
              <w:ind w:left="0" w:firstLine="0"/>
              <w:jc w:val="center"/>
              <w:rPr>
                <w:rFonts w:ascii="宋体"/>
                <w:sz w:val="21"/>
                <w:szCs w:val="21"/>
              </w:rPr>
            </w:pPr>
          </w:p>
        </w:tc>
        <w:tc>
          <w:tcPr>
            <w:tcW w:w="1173" w:type="dxa"/>
            <w:vMerge w:val="continue"/>
            <w:vAlign w:val="center"/>
          </w:tcPr>
          <w:p w14:paraId="698ECA18">
            <w:pPr>
              <w:numPr>
                <w:ilvl w:val="0"/>
                <w:numId w:val="0"/>
              </w:numPr>
              <w:tabs>
                <w:tab w:val="left" w:pos="360"/>
              </w:tabs>
              <w:spacing w:line="240" w:lineRule="auto"/>
              <w:ind w:left="0" w:firstLine="0"/>
              <w:jc w:val="center"/>
              <w:rPr>
                <w:rFonts w:ascii="宋体"/>
                <w:sz w:val="21"/>
                <w:szCs w:val="21"/>
              </w:rPr>
            </w:pPr>
          </w:p>
        </w:tc>
        <w:tc>
          <w:tcPr>
            <w:tcW w:w="697" w:type="dxa"/>
            <w:vMerge w:val="continue"/>
            <w:vAlign w:val="center"/>
          </w:tcPr>
          <w:p w14:paraId="296BCB15">
            <w:pPr>
              <w:numPr>
                <w:ilvl w:val="0"/>
                <w:numId w:val="0"/>
              </w:numPr>
              <w:tabs>
                <w:tab w:val="left" w:pos="360"/>
              </w:tabs>
              <w:spacing w:line="240" w:lineRule="auto"/>
              <w:ind w:left="0" w:firstLine="0"/>
              <w:jc w:val="center"/>
              <w:rPr>
                <w:rFonts w:ascii="宋体"/>
                <w:sz w:val="21"/>
                <w:szCs w:val="21"/>
              </w:rPr>
            </w:pPr>
          </w:p>
        </w:tc>
        <w:tc>
          <w:tcPr>
            <w:tcW w:w="1046" w:type="dxa"/>
            <w:vMerge w:val="continue"/>
            <w:vAlign w:val="center"/>
          </w:tcPr>
          <w:p w14:paraId="74E37ED2">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3C2B7C7C">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5C51A211">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p>
        </w:tc>
        <w:tc>
          <w:tcPr>
            <w:tcW w:w="709" w:type="dxa"/>
            <w:vAlign w:val="center"/>
          </w:tcPr>
          <w:p w14:paraId="6F670CE3">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ascii="宋体" w:hAnsi="宋体" w:cs="宋体"/>
                <w:color w:val="000000"/>
                <w:kern w:val="0"/>
                <w:sz w:val="21"/>
                <w:szCs w:val="21"/>
              </w:rPr>
              <w:t>03</w:t>
            </w:r>
          </w:p>
        </w:tc>
        <w:tc>
          <w:tcPr>
            <w:tcW w:w="1701" w:type="dxa"/>
            <w:vAlign w:val="center"/>
          </w:tcPr>
          <w:p w14:paraId="7A703AA3">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涵洞、通道</w:t>
            </w:r>
          </w:p>
          <w:p w14:paraId="39D4F23D">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hint="eastAsia" w:ascii="宋体" w:hAnsi="宋体" w:cs="宋体"/>
                <w:color w:val="000000"/>
                <w:kern w:val="0"/>
                <w:sz w:val="21"/>
                <w:szCs w:val="21"/>
              </w:rPr>
              <w:t>（</w:t>
            </w:r>
            <w:r>
              <w:rPr>
                <w:rFonts w:ascii="宋体" w:hAnsi="宋体" w:cs="宋体"/>
                <w:color w:val="000000"/>
                <w:kern w:val="0"/>
                <w:sz w:val="21"/>
                <w:szCs w:val="21"/>
              </w:rPr>
              <w:t>1-3km路段）</w:t>
            </w:r>
          </w:p>
        </w:tc>
        <w:tc>
          <w:tcPr>
            <w:tcW w:w="5500" w:type="dxa"/>
            <w:vAlign w:val="center"/>
          </w:tcPr>
          <w:p w14:paraId="57A0F504">
            <w:pPr>
              <w:widowControl/>
              <w:numPr>
                <w:ilvl w:val="0"/>
                <w:numId w:val="0"/>
              </w:numPr>
              <w:tabs>
                <w:tab w:val="left" w:pos="360"/>
              </w:tabs>
              <w:spacing w:line="240" w:lineRule="auto"/>
              <w:ind w:left="0" w:firstLine="0"/>
              <w:jc w:val="left"/>
              <w:textAlignment w:val="center"/>
              <w:rPr>
                <w:rFonts w:ascii="宋体" w:hAnsi="宋体" w:cs="宋体"/>
                <w:color w:val="000000"/>
                <w:sz w:val="21"/>
                <w:szCs w:val="21"/>
              </w:rPr>
            </w:pPr>
            <w:r>
              <w:rPr>
                <w:rFonts w:hint="eastAsia" w:ascii="宋体" w:hAnsi="宋体" w:cs="宋体"/>
                <w:color w:val="000000"/>
                <w:kern w:val="0"/>
                <w:sz w:val="21"/>
                <w:szCs w:val="21"/>
              </w:rPr>
              <w:t>钢筋加工及安装、涵台、管节预制、混凝土涵管安装、盖板制作、盖板安装、箱涵浇筑、拱涵浇（砌）筑、集水井砌筑、一字墙和八字墙、涵洞填土、砌体坡面防护、涵洞总体、顶进施工涵洞</w:t>
            </w:r>
          </w:p>
        </w:tc>
      </w:tr>
      <w:tr w14:paraId="5511D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4" w:type="dxa"/>
            <w:vMerge w:val="continue"/>
            <w:vAlign w:val="center"/>
          </w:tcPr>
          <w:p w14:paraId="2B309405">
            <w:pPr>
              <w:numPr>
                <w:ilvl w:val="0"/>
                <w:numId w:val="0"/>
              </w:numPr>
              <w:tabs>
                <w:tab w:val="left" w:pos="360"/>
              </w:tabs>
              <w:spacing w:line="240" w:lineRule="auto"/>
              <w:ind w:left="0" w:firstLine="0"/>
              <w:jc w:val="center"/>
              <w:rPr>
                <w:rFonts w:ascii="宋体"/>
                <w:sz w:val="21"/>
                <w:szCs w:val="21"/>
              </w:rPr>
            </w:pPr>
          </w:p>
        </w:tc>
        <w:tc>
          <w:tcPr>
            <w:tcW w:w="1173" w:type="dxa"/>
            <w:vMerge w:val="continue"/>
            <w:vAlign w:val="center"/>
          </w:tcPr>
          <w:p w14:paraId="47CB9879">
            <w:pPr>
              <w:numPr>
                <w:ilvl w:val="0"/>
                <w:numId w:val="0"/>
              </w:numPr>
              <w:tabs>
                <w:tab w:val="left" w:pos="360"/>
              </w:tabs>
              <w:spacing w:line="240" w:lineRule="auto"/>
              <w:ind w:left="0" w:firstLine="0"/>
              <w:jc w:val="center"/>
              <w:rPr>
                <w:rFonts w:ascii="宋体"/>
                <w:sz w:val="21"/>
                <w:szCs w:val="21"/>
              </w:rPr>
            </w:pPr>
          </w:p>
        </w:tc>
        <w:tc>
          <w:tcPr>
            <w:tcW w:w="697" w:type="dxa"/>
            <w:vMerge w:val="continue"/>
            <w:vAlign w:val="center"/>
          </w:tcPr>
          <w:p w14:paraId="198ADBB1">
            <w:pPr>
              <w:numPr>
                <w:ilvl w:val="0"/>
                <w:numId w:val="0"/>
              </w:numPr>
              <w:tabs>
                <w:tab w:val="left" w:pos="360"/>
              </w:tabs>
              <w:spacing w:line="240" w:lineRule="auto"/>
              <w:ind w:left="0" w:firstLine="0"/>
              <w:jc w:val="center"/>
              <w:rPr>
                <w:rFonts w:ascii="宋体"/>
                <w:sz w:val="21"/>
                <w:szCs w:val="21"/>
              </w:rPr>
            </w:pPr>
          </w:p>
        </w:tc>
        <w:tc>
          <w:tcPr>
            <w:tcW w:w="1046" w:type="dxa"/>
            <w:vMerge w:val="continue"/>
            <w:vAlign w:val="center"/>
          </w:tcPr>
          <w:p w14:paraId="204413D1">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58D22045">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49D2BC2B">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p>
        </w:tc>
        <w:tc>
          <w:tcPr>
            <w:tcW w:w="709" w:type="dxa"/>
            <w:vAlign w:val="center"/>
          </w:tcPr>
          <w:p w14:paraId="6D91A68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04</w:t>
            </w:r>
          </w:p>
        </w:tc>
        <w:tc>
          <w:tcPr>
            <w:tcW w:w="1701" w:type="dxa"/>
            <w:vAlign w:val="center"/>
          </w:tcPr>
          <w:p w14:paraId="38FBE3F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防护支挡工程</w:t>
            </w:r>
          </w:p>
          <w:p w14:paraId="51B3654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（1-3km路段）</w:t>
            </w:r>
          </w:p>
        </w:tc>
        <w:tc>
          <w:tcPr>
            <w:tcW w:w="5500" w:type="dxa"/>
            <w:vAlign w:val="center"/>
          </w:tcPr>
          <w:p w14:paraId="0CB14758">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砌体挡土墙、墙背填土、边坡锚固防护、土钉支护、砌体坡面防护、石笼防护、导流工程</w:t>
            </w:r>
          </w:p>
        </w:tc>
      </w:tr>
      <w:tr w14:paraId="76282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4" w:type="dxa"/>
            <w:vMerge w:val="continue"/>
            <w:vAlign w:val="center"/>
          </w:tcPr>
          <w:p w14:paraId="6E1DD6C1">
            <w:pPr>
              <w:numPr>
                <w:ilvl w:val="0"/>
                <w:numId w:val="0"/>
              </w:numPr>
              <w:tabs>
                <w:tab w:val="left" w:pos="360"/>
              </w:tabs>
              <w:spacing w:line="240" w:lineRule="auto"/>
              <w:ind w:left="0" w:firstLine="0"/>
              <w:jc w:val="center"/>
              <w:rPr>
                <w:rFonts w:ascii="宋体"/>
                <w:sz w:val="21"/>
                <w:szCs w:val="21"/>
              </w:rPr>
            </w:pPr>
          </w:p>
        </w:tc>
        <w:tc>
          <w:tcPr>
            <w:tcW w:w="1173" w:type="dxa"/>
            <w:vMerge w:val="continue"/>
            <w:vAlign w:val="center"/>
          </w:tcPr>
          <w:p w14:paraId="4F6E3D88">
            <w:pPr>
              <w:numPr>
                <w:ilvl w:val="0"/>
                <w:numId w:val="0"/>
              </w:numPr>
              <w:tabs>
                <w:tab w:val="left" w:pos="360"/>
              </w:tabs>
              <w:spacing w:line="240" w:lineRule="auto"/>
              <w:ind w:left="0" w:firstLine="0"/>
              <w:jc w:val="center"/>
              <w:rPr>
                <w:rFonts w:ascii="宋体"/>
                <w:sz w:val="21"/>
                <w:szCs w:val="21"/>
              </w:rPr>
            </w:pPr>
          </w:p>
        </w:tc>
        <w:tc>
          <w:tcPr>
            <w:tcW w:w="697" w:type="dxa"/>
            <w:vMerge w:val="continue"/>
            <w:vAlign w:val="center"/>
          </w:tcPr>
          <w:p w14:paraId="06EDD4F5">
            <w:pPr>
              <w:numPr>
                <w:ilvl w:val="0"/>
                <w:numId w:val="0"/>
              </w:numPr>
              <w:tabs>
                <w:tab w:val="left" w:pos="360"/>
              </w:tabs>
              <w:spacing w:line="240" w:lineRule="auto"/>
              <w:ind w:left="0" w:firstLine="0"/>
              <w:jc w:val="center"/>
              <w:rPr>
                <w:rFonts w:ascii="宋体"/>
                <w:sz w:val="21"/>
                <w:szCs w:val="21"/>
              </w:rPr>
            </w:pPr>
          </w:p>
        </w:tc>
        <w:tc>
          <w:tcPr>
            <w:tcW w:w="1046" w:type="dxa"/>
            <w:vMerge w:val="continue"/>
            <w:vAlign w:val="center"/>
          </w:tcPr>
          <w:p w14:paraId="5C932437">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12DB8A62">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13D1C871">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p>
        </w:tc>
        <w:tc>
          <w:tcPr>
            <w:tcW w:w="709" w:type="dxa"/>
            <w:vAlign w:val="center"/>
          </w:tcPr>
          <w:p w14:paraId="4D86264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05</w:t>
            </w:r>
          </w:p>
        </w:tc>
        <w:tc>
          <w:tcPr>
            <w:tcW w:w="1701" w:type="dxa"/>
            <w:vAlign w:val="center"/>
          </w:tcPr>
          <w:p w14:paraId="045E6FE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挡土墙</w:t>
            </w:r>
          </w:p>
        </w:tc>
        <w:tc>
          <w:tcPr>
            <w:tcW w:w="5500" w:type="dxa"/>
            <w:vAlign w:val="center"/>
          </w:tcPr>
          <w:p w14:paraId="7233D2EF">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钢筋加工及安装、砌体挡土墙、悬臂式挡土墙、扶壁式挡土墙、锚杆、锚定板和加筋挡土墙、墙背填土</w:t>
            </w:r>
          </w:p>
        </w:tc>
      </w:tr>
      <w:tr w14:paraId="10FD8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4" w:type="dxa"/>
            <w:vMerge w:val="continue"/>
            <w:vAlign w:val="center"/>
          </w:tcPr>
          <w:p w14:paraId="73911D3F">
            <w:pPr>
              <w:numPr>
                <w:ilvl w:val="0"/>
                <w:numId w:val="0"/>
              </w:numPr>
              <w:tabs>
                <w:tab w:val="left" w:pos="360"/>
              </w:tabs>
              <w:spacing w:line="240" w:lineRule="auto"/>
              <w:ind w:left="0" w:firstLine="0"/>
              <w:jc w:val="center"/>
              <w:rPr>
                <w:rFonts w:ascii="宋体"/>
                <w:sz w:val="21"/>
                <w:szCs w:val="21"/>
              </w:rPr>
            </w:pPr>
          </w:p>
        </w:tc>
        <w:tc>
          <w:tcPr>
            <w:tcW w:w="1173" w:type="dxa"/>
            <w:vMerge w:val="continue"/>
            <w:vAlign w:val="center"/>
          </w:tcPr>
          <w:p w14:paraId="5C05C99D">
            <w:pPr>
              <w:numPr>
                <w:ilvl w:val="0"/>
                <w:numId w:val="0"/>
              </w:numPr>
              <w:tabs>
                <w:tab w:val="left" w:pos="360"/>
              </w:tabs>
              <w:spacing w:line="240" w:lineRule="auto"/>
              <w:ind w:left="0" w:firstLine="0"/>
              <w:jc w:val="center"/>
              <w:rPr>
                <w:rFonts w:ascii="宋体"/>
                <w:sz w:val="21"/>
                <w:szCs w:val="21"/>
              </w:rPr>
            </w:pPr>
          </w:p>
        </w:tc>
        <w:tc>
          <w:tcPr>
            <w:tcW w:w="697" w:type="dxa"/>
            <w:vMerge w:val="continue"/>
            <w:vAlign w:val="center"/>
          </w:tcPr>
          <w:p w14:paraId="574AE308">
            <w:pPr>
              <w:numPr>
                <w:ilvl w:val="0"/>
                <w:numId w:val="0"/>
              </w:numPr>
              <w:tabs>
                <w:tab w:val="left" w:pos="360"/>
              </w:tabs>
              <w:spacing w:line="240" w:lineRule="auto"/>
              <w:ind w:left="0" w:firstLine="0"/>
              <w:jc w:val="center"/>
              <w:rPr>
                <w:rFonts w:ascii="宋体"/>
                <w:sz w:val="21"/>
                <w:szCs w:val="21"/>
              </w:rPr>
            </w:pPr>
          </w:p>
        </w:tc>
        <w:tc>
          <w:tcPr>
            <w:tcW w:w="1046" w:type="dxa"/>
            <w:vMerge w:val="continue"/>
            <w:vAlign w:val="center"/>
          </w:tcPr>
          <w:p w14:paraId="61ADB534">
            <w:pPr>
              <w:numPr>
                <w:ilvl w:val="0"/>
                <w:numId w:val="0"/>
              </w:numPr>
              <w:tabs>
                <w:tab w:val="left" w:pos="360"/>
              </w:tabs>
              <w:spacing w:line="240" w:lineRule="auto"/>
              <w:ind w:left="0" w:firstLine="0"/>
              <w:jc w:val="center"/>
              <w:rPr>
                <w:rFonts w:ascii="宋体"/>
                <w:sz w:val="21"/>
                <w:szCs w:val="21"/>
              </w:rPr>
            </w:pPr>
          </w:p>
        </w:tc>
        <w:tc>
          <w:tcPr>
            <w:tcW w:w="709" w:type="dxa"/>
            <w:vAlign w:val="center"/>
          </w:tcPr>
          <w:p w14:paraId="5FE3AC1F">
            <w:pPr>
              <w:numPr>
                <w:ilvl w:val="0"/>
                <w:numId w:val="0"/>
              </w:numPr>
              <w:tabs>
                <w:tab w:val="left" w:pos="360"/>
              </w:tabs>
              <w:spacing w:line="240" w:lineRule="auto"/>
              <w:ind w:left="0" w:firstLine="0"/>
              <w:jc w:val="center"/>
              <w:rPr>
                <w:rFonts w:ascii="宋体"/>
                <w:sz w:val="21"/>
                <w:szCs w:val="21"/>
              </w:rPr>
            </w:pPr>
            <w:r>
              <w:rPr>
                <w:rFonts w:ascii="宋体"/>
                <w:sz w:val="21"/>
                <w:szCs w:val="21"/>
              </w:rPr>
              <w:t>02</w:t>
            </w:r>
          </w:p>
        </w:tc>
        <w:tc>
          <w:tcPr>
            <w:tcW w:w="1843" w:type="dxa"/>
            <w:vAlign w:val="center"/>
          </w:tcPr>
          <w:p w14:paraId="17CF5B2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路面工程</w:t>
            </w:r>
          </w:p>
          <w:p w14:paraId="203D927B">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hint="eastAsia" w:ascii="宋体" w:hAnsi="宋体" w:cs="宋体"/>
                <w:color w:val="000000"/>
                <w:kern w:val="0"/>
                <w:sz w:val="21"/>
                <w:szCs w:val="21"/>
              </w:rPr>
              <w:t>（10km或每标段）</w:t>
            </w:r>
          </w:p>
        </w:tc>
        <w:tc>
          <w:tcPr>
            <w:tcW w:w="709" w:type="dxa"/>
            <w:vAlign w:val="center"/>
          </w:tcPr>
          <w:p w14:paraId="193B0D2C">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1701" w:type="dxa"/>
            <w:vAlign w:val="center"/>
          </w:tcPr>
          <w:p w14:paraId="54E6237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路面工程</w:t>
            </w:r>
          </w:p>
          <w:p w14:paraId="5BED6503">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（1-3km路段）</w:t>
            </w:r>
          </w:p>
        </w:tc>
        <w:tc>
          <w:tcPr>
            <w:tcW w:w="5500" w:type="dxa"/>
            <w:vAlign w:val="center"/>
          </w:tcPr>
          <w:p w14:paraId="75B62D91">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垫层、底基层、基层、面层、路缘石、路肩</w:t>
            </w:r>
          </w:p>
        </w:tc>
      </w:tr>
      <w:tr w14:paraId="5DE11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0" w:hRule="atLeast"/>
        </w:trPr>
        <w:tc>
          <w:tcPr>
            <w:tcW w:w="594" w:type="dxa"/>
            <w:vMerge w:val="continue"/>
            <w:vAlign w:val="center"/>
          </w:tcPr>
          <w:p w14:paraId="3AF3F128">
            <w:pPr>
              <w:numPr>
                <w:ilvl w:val="0"/>
                <w:numId w:val="0"/>
              </w:numPr>
              <w:tabs>
                <w:tab w:val="left" w:pos="360"/>
              </w:tabs>
              <w:spacing w:line="240" w:lineRule="auto"/>
              <w:ind w:left="0" w:firstLine="0"/>
              <w:jc w:val="center"/>
              <w:rPr>
                <w:rFonts w:ascii="宋体"/>
                <w:sz w:val="21"/>
                <w:szCs w:val="21"/>
              </w:rPr>
            </w:pPr>
          </w:p>
        </w:tc>
        <w:tc>
          <w:tcPr>
            <w:tcW w:w="1173" w:type="dxa"/>
            <w:vMerge w:val="continue"/>
            <w:vAlign w:val="center"/>
          </w:tcPr>
          <w:p w14:paraId="656FE9F4">
            <w:pPr>
              <w:numPr>
                <w:ilvl w:val="0"/>
                <w:numId w:val="0"/>
              </w:numPr>
              <w:tabs>
                <w:tab w:val="left" w:pos="360"/>
              </w:tabs>
              <w:spacing w:line="240" w:lineRule="auto"/>
              <w:ind w:left="0" w:firstLine="0"/>
              <w:jc w:val="center"/>
              <w:rPr>
                <w:rFonts w:ascii="宋体"/>
                <w:sz w:val="21"/>
                <w:szCs w:val="21"/>
              </w:rPr>
            </w:pPr>
          </w:p>
        </w:tc>
        <w:tc>
          <w:tcPr>
            <w:tcW w:w="697" w:type="dxa"/>
            <w:vMerge w:val="continue"/>
            <w:vAlign w:val="center"/>
          </w:tcPr>
          <w:p w14:paraId="2F2C27A7">
            <w:pPr>
              <w:numPr>
                <w:ilvl w:val="0"/>
                <w:numId w:val="0"/>
              </w:numPr>
              <w:tabs>
                <w:tab w:val="left" w:pos="360"/>
              </w:tabs>
              <w:spacing w:line="240" w:lineRule="auto"/>
              <w:ind w:left="0" w:firstLine="0"/>
              <w:jc w:val="center"/>
              <w:rPr>
                <w:rFonts w:ascii="宋体"/>
                <w:sz w:val="21"/>
                <w:szCs w:val="21"/>
              </w:rPr>
            </w:pPr>
          </w:p>
        </w:tc>
        <w:tc>
          <w:tcPr>
            <w:tcW w:w="1046" w:type="dxa"/>
            <w:vMerge w:val="continue"/>
            <w:vAlign w:val="center"/>
          </w:tcPr>
          <w:p w14:paraId="3FB8CF5D">
            <w:pPr>
              <w:numPr>
                <w:ilvl w:val="0"/>
                <w:numId w:val="0"/>
              </w:numPr>
              <w:tabs>
                <w:tab w:val="left" w:pos="360"/>
              </w:tabs>
              <w:spacing w:line="240" w:lineRule="auto"/>
              <w:ind w:left="0" w:firstLine="0"/>
              <w:jc w:val="center"/>
              <w:rPr>
                <w:rFonts w:ascii="宋体"/>
                <w:sz w:val="21"/>
                <w:szCs w:val="21"/>
              </w:rPr>
            </w:pPr>
          </w:p>
        </w:tc>
        <w:tc>
          <w:tcPr>
            <w:tcW w:w="709" w:type="dxa"/>
            <w:vMerge w:val="restart"/>
            <w:vAlign w:val="center"/>
          </w:tcPr>
          <w:p w14:paraId="709EF999">
            <w:pPr>
              <w:numPr>
                <w:ilvl w:val="0"/>
                <w:numId w:val="0"/>
              </w:numPr>
              <w:tabs>
                <w:tab w:val="left" w:pos="360"/>
              </w:tabs>
              <w:spacing w:line="240" w:lineRule="auto"/>
              <w:ind w:left="0" w:firstLine="0"/>
              <w:jc w:val="center"/>
              <w:rPr>
                <w:rFonts w:ascii="宋体"/>
                <w:sz w:val="21"/>
                <w:szCs w:val="21"/>
              </w:rPr>
            </w:pPr>
            <w:r>
              <w:rPr>
                <w:rFonts w:ascii="宋体"/>
                <w:sz w:val="21"/>
                <w:szCs w:val="21"/>
              </w:rPr>
              <w:t>03</w:t>
            </w:r>
          </w:p>
        </w:tc>
        <w:tc>
          <w:tcPr>
            <w:tcW w:w="1843" w:type="dxa"/>
            <w:vMerge w:val="restart"/>
            <w:vAlign w:val="center"/>
          </w:tcPr>
          <w:p w14:paraId="3A492A7B">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hint="eastAsia" w:ascii="宋体" w:hAnsi="宋体" w:cs="宋体"/>
                <w:color w:val="000000"/>
                <w:kern w:val="0"/>
                <w:sz w:val="21"/>
                <w:szCs w:val="21"/>
              </w:rPr>
              <w:t>桥梁工程（每座）</w:t>
            </w:r>
          </w:p>
        </w:tc>
        <w:tc>
          <w:tcPr>
            <w:tcW w:w="709" w:type="dxa"/>
            <w:vAlign w:val="center"/>
          </w:tcPr>
          <w:p w14:paraId="08A8C8C2">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1701" w:type="dxa"/>
            <w:vAlign w:val="center"/>
          </w:tcPr>
          <w:p w14:paraId="64F7F7E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基础及下部构造</w:t>
            </w:r>
          </w:p>
        </w:tc>
        <w:tc>
          <w:tcPr>
            <w:tcW w:w="5500" w:type="dxa"/>
            <w:vAlign w:val="center"/>
          </w:tcPr>
          <w:p w14:paraId="42773497">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钢筋加工及安装、预应力筋加工和张拉、预应力管道压浆、混凝土扩大基础、钻孔灌注桩、挖孔桩、沉入桩、灌注桩桩底压浆、承台大体积混凝土结构、砌体、混凝土墩、台、墩身安装、支座垫石和挡块、拱桥组合桥台、台背填土</w:t>
            </w:r>
          </w:p>
        </w:tc>
      </w:tr>
      <w:tr w14:paraId="753CA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4" w:type="dxa"/>
            <w:vMerge w:val="continue"/>
            <w:vAlign w:val="center"/>
          </w:tcPr>
          <w:p w14:paraId="4912C1CE">
            <w:pPr>
              <w:numPr>
                <w:ilvl w:val="0"/>
                <w:numId w:val="0"/>
              </w:numPr>
              <w:tabs>
                <w:tab w:val="left" w:pos="360"/>
              </w:tabs>
              <w:spacing w:line="240" w:lineRule="auto"/>
              <w:ind w:left="0" w:firstLine="0"/>
              <w:jc w:val="center"/>
              <w:rPr>
                <w:rFonts w:ascii="宋体"/>
                <w:sz w:val="21"/>
                <w:szCs w:val="21"/>
              </w:rPr>
            </w:pPr>
          </w:p>
        </w:tc>
        <w:tc>
          <w:tcPr>
            <w:tcW w:w="1173" w:type="dxa"/>
            <w:vMerge w:val="continue"/>
            <w:vAlign w:val="center"/>
          </w:tcPr>
          <w:p w14:paraId="7CCF0A53">
            <w:pPr>
              <w:numPr>
                <w:ilvl w:val="0"/>
                <w:numId w:val="0"/>
              </w:numPr>
              <w:tabs>
                <w:tab w:val="left" w:pos="360"/>
              </w:tabs>
              <w:spacing w:line="240" w:lineRule="auto"/>
              <w:ind w:left="0" w:firstLine="0"/>
              <w:jc w:val="center"/>
              <w:rPr>
                <w:rFonts w:ascii="宋体"/>
                <w:sz w:val="21"/>
                <w:szCs w:val="21"/>
              </w:rPr>
            </w:pPr>
          </w:p>
        </w:tc>
        <w:tc>
          <w:tcPr>
            <w:tcW w:w="697" w:type="dxa"/>
            <w:vMerge w:val="continue"/>
            <w:vAlign w:val="center"/>
          </w:tcPr>
          <w:p w14:paraId="690454BB">
            <w:pPr>
              <w:numPr>
                <w:ilvl w:val="0"/>
                <w:numId w:val="0"/>
              </w:numPr>
              <w:tabs>
                <w:tab w:val="left" w:pos="360"/>
              </w:tabs>
              <w:spacing w:line="240" w:lineRule="auto"/>
              <w:ind w:left="0" w:firstLine="0"/>
              <w:jc w:val="center"/>
              <w:rPr>
                <w:rFonts w:ascii="宋体"/>
                <w:sz w:val="21"/>
                <w:szCs w:val="21"/>
              </w:rPr>
            </w:pPr>
          </w:p>
        </w:tc>
        <w:tc>
          <w:tcPr>
            <w:tcW w:w="1046" w:type="dxa"/>
            <w:vMerge w:val="continue"/>
            <w:vAlign w:val="center"/>
          </w:tcPr>
          <w:p w14:paraId="2C4EFD48">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231F8F01">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14E368C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6128894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1701" w:type="dxa"/>
            <w:vAlign w:val="center"/>
          </w:tcPr>
          <w:p w14:paraId="448A698D">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上部构造预制和安装</w:t>
            </w:r>
          </w:p>
        </w:tc>
        <w:tc>
          <w:tcPr>
            <w:tcW w:w="5500" w:type="dxa"/>
            <w:vAlign w:val="center"/>
          </w:tcPr>
          <w:p w14:paraId="508740DC">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钢筋加工及安装、预应力筋加工和张拉、预应力管道压浆、预制安装梁、板、悬臂施工梁</w:t>
            </w:r>
          </w:p>
        </w:tc>
      </w:tr>
      <w:tr w14:paraId="25976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4" w:type="dxa"/>
            <w:vMerge w:val="continue"/>
            <w:vAlign w:val="center"/>
          </w:tcPr>
          <w:p w14:paraId="2B8589A4">
            <w:pPr>
              <w:numPr>
                <w:ilvl w:val="0"/>
                <w:numId w:val="0"/>
              </w:numPr>
              <w:tabs>
                <w:tab w:val="left" w:pos="360"/>
              </w:tabs>
              <w:spacing w:line="240" w:lineRule="auto"/>
              <w:ind w:left="0" w:firstLine="0"/>
              <w:jc w:val="center"/>
              <w:rPr>
                <w:rFonts w:ascii="宋体"/>
                <w:sz w:val="21"/>
                <w:szCs w:val="21"/>
              </w:rPr>
            </w:pPr>
          </w:p>
        </w:tc>
        <w:tc>
          <w:tcPr>
            <w:tcW w:w="1173" w:type="dxa"/>
            <w:vMerge w:val="continue"/>
            <w:vAlign w:val="center"/>
          </w:tcPr>
          <w:p w14:paraId="5B3DA5BC">
            <w:pPr>
              <w:numPr>
                <w:ilvl w:val="0"/>
                <w:numId w:val="0"/>
              </w:numPr>
              <w:tabs>
                <w:tab w:val="left" w:pos="360"/>
              </w:tabs>
              <w:spacing w:line="240" w:lineRule="auto"/>
              <w:ind w:left="0" w:firstLine="0"/>
              <w:jc w:val="center"/>
              <w:rPr>
                <w:rFonts w:ascii="宋体"/>
                <w:sz w:val="21"/>
                <w:szCs w:val="21"/>
              </w:rPr>
            </w:pPr>
          </w:p>
        </w:tc>
        <w:tc>
          <w:tcPr>
            <w:tcW w:w="697" w:type="dxa"/>
            <w:vMerge w:val="continue"/>
            <w:vAlign w:val="center"/>
          </w:tcPr>
          <w:p w14:paraId="776777F0">
            <w:pPr>
              <w:numPr>
                <w:ilvl w:val="0"/>
                <w:numId w:val="0"/>
              </w:numPr>
              <w:tabs>
                <w:tab w:val="left" w:pos="360"/>
              </w:tabs>
              <w:spacing w:line="240" w:lineRule="auto"/>
              <w:ind w:left="0" w:firstLine="0"/>
              <w:jc w:val="center"/>
              <w:rPr>
                <w:rFonts w:ascii="宋体"/>
                <w:sz w:val="21"/>
                <w:szCs w:val="21"/>
              </w:rPr>
            </w:pPr>
          </w:p>
        </w:tc>
        <w:tc>
          <w:tcPr>
            <w:tcW w:w="1046" w:type="dxa"/>
            <w:vMerge w:val="continue"/>
            <w:vAlign w:val="center"/>
          </w:tcPr>
          <w:p w14:paraId="7CB2C7AB">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663383AF">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2BC1DBC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27F371C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03</w:t>
            </w:r>
          </w:p>
        </w:tc>
        <w:tc>
          <w:tcPr>
            <w:tcW w:w="1701" w:type="dxa"/>
            <w:vAlign w:val="center"/>
          </w:tcPr>
          <w:p w14:paraId="12DE57E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上部构造现场浇筑</w:t>
            </w:r>
          </w:p>
        </w:tc>
        <w:tc>
          <w:tcPr>
            <w:tcW w:w="5500" w:type="dxa"/>
            <w:vAlign w:val="center"/>
          </w:tcPr>
          <w:p w14:paraId="0A3FB408">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钢筋加工及安装、预应力筋加工和张拉、预应力管道压浆、就地浇筑梁、板、悬臂梁施工</w:t>
            </w:r>
          </w:p>
        </w:tc>
      </w:tr>
      <w:tr w14:paraId="53F08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trPr>
        <w:tc>
          <w:tcPr>
            <w:tcW w:w="594" w:type="dxa"/>
            <w:vMerge w:val="continue"/>
            <w:tcBorders>
              <w:bottom w:val="single" w:color="auto" w:sz="4" w:space="0"/>
            </w:tcBorders>
            <w:vAlign w:val="center"/>
          </w:tcPr>
          <w:p w14:paraId="6D12CF8C">
            <w:pPr>
              <w:numPr>
                <w:ilvl w:val="0"/>
                <w:numId w:val="0"/>
              </w:numPr>
              <w:tabs>
                <w:tab w:val="left" w:pos="360"/>
              </w:tabs>
              <w:spacing w:line="240" w:lineRule="auto"/>
              <w:ind w:left="0" w:firstLine="0"/>
              <w:jc w:val="center"/>
              <w:rPr>
                <w:rFonts w:ascii="宋体"/>
                <w:sz w:val="21"/>
                <w:szCs w:val="21"/>
              </w:rPr>
            </w:pPr>
          </w:p>
        </w:tc>
        <w:tc>
          <w:tcPr>
            <w:tcW w:w="1173" w:type="dxa"/>
            <w:vMerge w:val="continue"/>
            <w:tcBorders>
              <w:bottom w:val="single" w:color="auto" w:sz="4" w:space="0"/>
            </w:tcBorders>
            <w:vAlign w:val="center"/>
          </w:tcPr>
          <w:p w14:paraId="0FE40786">
            <w:pPr>
              <w:numPr>
                <w:ilvl w:val="0"/>
                <w:numId w:val="0"/>
              </w:numPr>
              <w:tabs>
                <w:tab w:val="left" w:pos="360"/>
              </w:tabs>
              <w:spacing w:line="240" w:lineRule="auto"/>
              <w:ind w:left="0" w:firstLine="0"/>
              <w:jc w:val="center"/>
              <w:rPr>
                <w:rFonts w:ascii="宋体"/>
                <w:sz w:val="21"/>
                <w:szCs w:val="21"/>
              </w:rPr>
            </w:pPr>
          </w:p>
        </w:tc>
        <w:tc>
          <w:tcPr>
            <w:tcW w:w="697" w:type="dxa"/>
            <w:vMerge w:val="continue"/>
            <w:tcBorders>
              <w:bottom w:val="single" w:color="auto" w:sz="4" w:space="0"/>
            </w:tcBorders>
            <w:vAlign w:val="center"/>
          </w:tcPr>
          <w:p w14:paraId="4BF20CE1">
            <w:pPr>
              <w:numPr>
                <w:ilvl w:val="0"/>
                <w:numId w:val="0"/>
              </w:numPr>
              <w:tabs>
                <w:tab w:val="left" w:pos="360"/>
              </w:tabs>
              <w:spacing w:line="240" w:lineRule="auto"/>
              <w:ind w:left="0" w:firstLine="0"/>
              <w:jc w:val="center"/>
              <w:rPr>
                <w:rFonts w:ascii="宋体"/>
                <w:sz w:val="21"/>
                <w:szCs w:val="21"/>
              </w:rPr>
            </w:pPr>
          </w:p>
        </w:tc>
        <w:tc>
          <w:tcPr>
            <w:tcW w:w="1046" w:type="dxa"/>
            <w:vMerge w:val="continue"/>
            <w:tcBorders>
              <w:bottom w:val="single" w:color="auto" w:sz="4" w:space="0"/>
            </w:tcBorders>
            <w:vAlign w:val="center"/>
          </w:tcPr>
          <w:p w14:paraId="0823C3E9">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7E0CF8C8">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1BB5AD5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21DF086F">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04</w:t>
            </w:r>
          </w:p>
        </w:tc>
        <w:tc>
          <w:tcPr>
            <w:tcW w:w="1701" w:type="dxa"/>
            <w:vAlign w:val="center"/>
          </w:tcPr>
          <w:p w14:paraId="4C0FA49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桥面系、附属工程及桥梁总体</w:t>
            </w:r>
          </w:p>
        </w:tc>
        <w:tc>
          <w:tcPr>
            <w:tcW w:w="5500" w:type="dxa"/>
            <w:vAlign w:val="center"/>
          </w:tcPr>
          <w:p w14:paraId="7804AA8F">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钢筋加工及安装、混凝土桥面桥板面防水层、混凝土桥面铺装、支座安装、伸缩装置安装、栏杆安装、混凝土护栏、砌体坡面护坡、混凝土构件表面防护、桥梁总体</w:t>
            </w:r>
          </w:p>
        </w:tc>
      </w:tr>
      <w:tr w14:paraId="5AA74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4" w:type="dxa"/>
            <w:vMerge w:val="restart"/>
            <w:tcBorders>
              <w:top w:val="single" w:color="auto" w:sz="4" w:space="0"/>
            </w:tcBorders>
            <w:vAlign w:val="center"/>
          </w:tcPr>
          <w:p w14:paraId="747DCAFE">
            <w:pPr>
              <w:numPr>
                <w:ilvl w:val="0"/>
                <w:numId w:val="0"/>
              </w:numPr>
              <w:tabs>
                <w:tab w:val="left" w:pos="360"/>
              </w:tabs>
              <w:spacing w:line="240" w:lineRule="auto"/>
              <w:ind w:left="0" w:firstLine="0"/>
              <w:jc w:val="center"/>
              <w:rPr>
                <w:rFonts w:ascii="宋体"/>
                <w:sz w:val="21"/>
                <w:szCs w:val="21"/>
              </w:rPr>
            </w:pPr>
            <w:r>
              <w:rPr>
                <w:rFonts w:ascii="宋体"/>
                <w:sz w:val="21"/>
                <w:szCs w:val="21"/>
              </w:rPr>
              <w:t>01</w:t>
            </w:r>
          </w:p>
        </w:tc>
        <w:tc>
          <w:tcPr>
            <w:tcW w:w="1173" w:type="dxa"/>
            <w:vMerge w:val="restart"/>
            <w:tcBorders>
              <w:top w:val="single" w:color="auto" w:sz="4" w:space="0"/>
            </w:tcBorders>
            <w:vAlign w:val="center"/>
          </w:tcPr>
          <w:p w14:paraId="5D316061">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交通工程</w:t>
            </w:r>
          </w:p>
        </w:tc>
        <w:tc>
          <w:tcPr>
            <w:tcW w:w="697" w:type="dxa"/>
            <w:vMerge w:val="restart"/>
            <w:tcBorders>
              <w:top w:val="single" w:color="auto" w:sz="4" w:space="0"/>
            </w:tcBorders>
            <w:vAlign w:val="center"/>
          </w:tcPr>
          <w:p w14:paraId="3B8AB6F5">
            <w:pPr>
              <w:numPr>
                <w:ilvl w:val="0"/>
                <w:numId w:val="0"/>
              </w:numPr>
              <w:tabs>
                <w:tab w:val="left" w:pos="360"/>
              </w:tabs>
              <w:spacing w:line="240" w:lineRule="auto"/>
              <w:ind w:left="0" w:firstLine="0"/>
              <w:jc w:val="center"/>
              <w:rPr>
                <w:rFonts w:ascii="宋体"/>
                <w:sz w:val="21"/>
                <w:szCs w:val="21"/>
              </w:rPr>
            </w:pPr>
            <w:r>
              <w:rPr>
                <w:rFonts w:ascii="宋体"/>
                <w:sz w:val="21"/>
                <w:szCs w:val="21"/>
              </w:rPr>
              <w:t>01~</w:t>
            </w:r>
            <w:r>
              <w:rPr>
                <w:rFonts w:hint="eastAsia" w:ascii="宋体"/>
                <w:sz w:val="21"/>
                <w:szCs w:val="21"/>
              </w:rPr>
              <w:t>N</w:t>
            </w:r>
          </w:p>
        </w:tc>
        <w:tc>
          <w:tcPr>
            <w:tcW w:w="1046" w:type="dxa"/>
            <w:vMerge w:val="restart"/>
            <w:tcBorders>
              <w:top w:val="single" w:color="auto" w:sz="4" w:space="0"/>
            </w:tcBorders>
            <w:vAlign w:val="center"/>
          </w:tcPr>
          <w:p w14:paraId="2F6D86AF">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N号道路（支路）</w:t>
            </w:r>
          </w:p>
        </w:tc>
        <w:tc>
          <w:tcPr>
            <w:tcW w:w="709" w:type="dxa"/>
            <w:vMerge w:val="restart"/>
            <w:vAlign w:val="center"/>
          </w:tcPr>
          <w:p w14:paraId="14C2A708">
            <w:pPr>
              <w:numPr>
                <w:ilvl w:val="0"/>
                <w:numId w:val="0"/>
              </w:numPr>
              <w:tabs>
                <w:tab w:val="left" w:pos="360"/>
              </w:tabs>
              <w:spacing w:line="240" w:lineRule="auto"/>
              <w:ind w:left="0" w:firstLine="0"/>
              <w:jc w:val="center"/>
              <w:rPr>
                <w:rFonts w:ascii="宋体"/>
                <w:sz w:val="21"/>
                <w:szCs w:val="21"/>
              </w:rPr>
            </w:pPr>
            <w:r>
              <w:rPr>
                <w:rFonts w:ascii="宋体"/>
                <w:sz w:val="21"/>
                <w:szCs w:val="21"/>
              </w:rPr>
              <w:t>04</w:t>
            </w:r>
          </w:p>
        </w:tc>
        <w:tc>
          <w:tcPr>
            <w:tcW w:w="1843" w:type="dxa"/>
            <w:vMerge w:val="restart"/>
            <w:vAlign w:val="center"/>
          </w:tcPr>
          <w:p w14:paraId="6DB200B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绿化及环境</w:t>
            </w:r>
          </w:p>
        </w:tc>
        <w:tc>
          <w:tcPr>
            <w:tcW w:w="709" w:type="dxa"/>
            <w:vAlign w:val="center"/>
          </w:tcPr>
          <w:p w14:paraId="3A66286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1701" w:type="dxa"/>
            <w:vAlign w:val="center"/>
          </w:tcPr>
          <w:p w14:paraId="127CD43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绿化环境</w:t>
            </w:r>
          </w:p>
        </w:tc>
        <w:tc>
          <w:tcPr>
            <w:tcW w:w="5500" w:type="dxa"/>
            <w:vAlign w:val="center"/>
          </w:tcPr>
          <w:p w14:paraId="0731AB7B">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绿地整理、树木栽植、植草</w:t>
            </w:r>
          </w:p>
        </w:tc>
      </w:tr>
      <w:tr w14:paraId="1A200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94" w:type="dxa"/>
            <w:vMerge w:val="continue"/>
            <w:vAlign w:val="center"/>
          </w:tcPr>
          <w:p w14:paraId="5BE7F5B8">
            <w:pPr>
              <w:numPr>
                <w:ilvl w:val="0"/>
                <w:numId w:val="0"/>
              </w:numPr>
              <w:tabs>
                <w:tab w:val="left" w:pos="360"/>
              </w:tabs>
              <w:spacing w:line="240" w:lineRule="auto"/>
              <w:ind w:left="0" w:firstLine="0"/>
              <w:jc w:val="center"/>
              <w:rPr>
                <w:rFonts w:ascii="宋体"/>
                <w:sz w:val="21"/>
                <w:szCs w:val="21"/>
              </w:rPr>
            </w:pPr>
          </w:p>
        </w:tc>
        <w:tc>
          <w:tcPr>
            <w:tcW w:w="1173" w:type="dxa"/>
            <w:vMerge w:val="continue"/>
            <w:vAlign w:val="center"/>
          </w:tcPr>
          <w:p w14:paraId="274D4B4B">
            <w:pPr>
              <w:numPr>
                <w:ilvl w:val="0"/>
                <w:numId w:val="0"/>
              </w:numPr>
              <w:tabs>
                <w:tab w:val="left" w:pos="360"/>
              </w:tabs>
              <w:spacing w:line="240" w:lineRule="auto"/>
              <w:ind w:left="0" w:firstLine="0"/>
              <w:jc w:val="center"/>
              <w:rPr>
                <w:rFonts w:ascii="宋体"/>
                <w:sz w:val="21"/>
                <w:szCs w:val="21"/>
              </w:rPr>
            </w:pPr>
          </w:p>
        </w:tc>
        <w:tc>
          <w:tcPr>
            <w:tcW w:w="697" w:type="dxa"/>
            <w:vMerge w:val="continue"/>
            <w:vAlign w:val="center"/>
          </w:tcPr>
          <w:p w14:paraId="56965C8C">
            <w:pPr>
              <w:numPr>
                <w:ilvl w:val="0"/>
                <w:numId w:val="0"/>
              </w:numPr>
              <w:tabs>
                <w:tab w:val="left" w:pos="360"/>
              </w:tabs>
              <w:spacing w:line="240" w:lineRule="auto"/>
              <w:ind w:left="0" w:firstLine="0"/>
              <w:jc w:val="center"/>
              <w:rPr>
                <w:rFonts w:ascii="宋体"/>
                <w:sz w:val="21"/>
                <w:szCs w:val="21"/>
              </w:rPr>
            </w:pPr>
          </w:p>
        </w:tc>
        <w:tc>
          <w:tcPr>
            <w:tcW w:w="1046" w:type="dxa"/>
            <w:vMerge w:val="continue"/>
            <w:vAlign w:val="center"/>
          </w:tcPr>
          <w:p w14:paraId="58571AC2">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07392373">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16858DD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292A7C8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1701" w:type="dxa"/>
            <w:vAlign w:val="center"/>
          </w:tcPr>
          <w:p w14:paraId="351AB522">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交通标志</w:t>
            </w:r>
          </w:p>
        </w:tc>
        <w:tc>
          <w:tcPr>
            <w:tcW w:w="5500" w:type="dxa"/>
            <w:vAlign w:val="center"/>
          </w:tcPr>
          <w:p w14:paraId="381910B3">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标志、标线、突起路标、轮廓线</w:t>
            </w:r>
          </w:p>
        </w:tc>
      </w:tr>
    </w:tbl>
    <w:p w14:paraId="71AB35BF">
      <w:pPr>
        <w:widowControl/>
        <w:adjustRightInd/>
        <w:snapToGrid/>
        <w:spacing w:line="240" w:lineRule="auto"/>
        <w:jc w:val="left"/>
      </w:pPr>
      <w:r>
        <w:br w:type="page"/>
      </w:r>
    </w:p>
    <w:p w14:paraId="5533AA7D">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pPr>
      <w:bookmarkStart w:id="101" w:name="_Toc89599145"/>
      <w:bookmarkStart w:id="102" w:name="_Toc92737147"/>
      <w:bookmarkStart w:id="103" w:name="_Toc1083"/>
      <w:r>
        <w:rPr>
          <w:rFonts w:hint="eastAsia" w:eastAsia="宋体"/>
        </w:rPr>
        <w:t>附录B</w:t>
      </w:r>
      <w:r>
        <w:rPr>
          <w:rFonts w:hint="eastAsia"/>
          <w:lang w:val="en-US" w:eastAsia="zh-CN"/>
        </w:rPr>
        <w:t xml:space="preserve">  </w:t>
      </w:r>
      <w:r>
        <w:rPr>
          <w:rFonts w:hint="eastAsia" w:eastAsia="宋体"/>
        </w:rPr>
        <w:t>升压站建筑工程质量验收范围划分表</w:t>
      </w:r>
      <w:bookmarkEnd w:id="101"/>
      <w:bookmarkEnd w:id="102"/>
      <w:bookmarkEnd w:id="103"/>
    </w:p>
    <w:p w14:paraId="5B7A271F">
      <w:pPr>
        <w:spacing w:line="240" w:lineRule="auto"/>
        <w:jc w:val="center"/>
        <w:rPr>
          <w:rFonts w:hint="eastAsia" w:ascii="黑体" w:hAnsi="黑体" w:eastAsia="黑体" w:cs="黑体"/>
          <w:sz w:val="28"/>
          <w:szCs w:val="28"/>
        </w:rPr>
      </w:pPr>
      <w:r>
        <w:rPr>
          <w:rFonts w:hint="eastAsia" w:ascii="黑体" w:hAnsi="黑体" w:eastAsia="黑体" w:cs="黑体"/>
          <w:sz w:val="28"/>
          <w:szCs w:val="28"/>
        </w:rPr>
        <w:t>表</w:t>
      </w:r>
      <w:r>
        <w:rPr>
          <w:rFonts w:hint="default" w:ascii="Times New Roman" w:hAnsi="Times New Roman" w:eastAsia="黑体" w:cs="Times New Roman"/>
          <w:b/>
          <w:bCs/>
          <w:sz w:val="28"/>
          <w:szCs w:val="28"/>
        </w:rPr>
        <w:t>B</w:t>
      </w:r>
      <w:r>
        <w:rPr>
          <w:rFonts w:hint="eastAsia"/>
          <w:lang w:val="en-US" w:eastAsia="zh-CN"/>
        </w:rPr>
        <w:t xml:space="preserve">  </w:t>
      </w:r>
      <w:r>
        <w:rPr>
          <w:rFonts w:hint="eastAsia" w:ascii="黑体" w:hAnsi="黑体" w:eastAsia="黑体" w:cs="黑体"/>
          <w:sz w:val="28"/>
          <w:szCs w:val="28"/>
        </w:rPr>
        <w:t>升压站建筑工程质量验收范围划分表</w:t>
      </w:r>
    </w:p>
    <w:tbl>
      <w:tblPr>
        <w:tblStyle w:val="13"/>
        <w:tblW w:w="139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4"/>
        <w:gridCol w:w="1227"/>
        <w:gridCol w:w="786"/>
        <w:gridCol w:w="1040"/>
        <w:gridCol w:w="706"/>
        <w:gridCol w:w="1830"/>
        <w:gridCol w:w="706"/>
        <w:gridCol w:w="1643"/>
        <w:gridCol w:w="5500"/>
      </w:tblGrid>
      <w:tr w14:paraId="77BA5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restart"/>
            <w:vAlign w:val="center"/>
          </w:tcPr>
          <w:p w14:paraId="32389BC2">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227" w:type="dxa"/>
            <w:vMerge w:val="restart"/>
            <w:vAlign w:val="center"/>
          </w:tcPr>
          <w:p w14:paraId="01285A6F">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单位工程</w:t>
            </w:r>
          </w:p>
        </w:tc>
        <w:tc>
          <w:tcPr>
            <w:tcW w:w="1826" w:type="dxa"/>
            <w:gridSpan w:val="2"/>
            <w:vAlign w:val="center"/>
          </w:tcPr>
          <w:p w14:paraId="0887E081">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子单位工程</w:t>
            </w:r>
          </w:p>
        </w:tc>
        <w:tc>
          <w:tcPr>
            <w:tcW w:w="2536" w:type="dxa"/>
            <w:gridSpan w:val="2"/>
            <w:vAlign w:val="center"/>
          </w:tcPr>
          <w:p w14:paraId="44283DEB">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分部工程</w:t>
            </w:r>
          </w:p>
        </w:tc>
        <w:tc>
          <w:tcPr>
            <w:tcW w:w="2349" w:type="dxa"/>
            <w:gridSpan w:val="2"/>
            <w:vAlign w:val="center"/>
          </w:tcPr>
          <w:p w14:paraId="3A351CDE">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子分部工程</w:t>
            </w:r>
          </w:p>
        </w:tc>
        <w:tc>
          <w:tcPr>
            <w:tcW w:w="5500" w:type="dxa"/>
            <w:vMerge w:val="restart"/>
            <w:tcBorders>
              <w:top w:val="single" w:color="auto" w:sz="4" w:space="0"/>
              <w:right w:val="single" w:color="auto" w:sz="4" w:space="0"/>
            </w:tcBorders>
            <w:shd w:val="clear" w:color="auto" w:fill="auto"/>
            <w:vAlign w:val="center"/>
          </w:tcPr>
          <w:p w14:paraId="5EC26A69">
            <w:pPr>
              <w:widowControl/>
              <w:numPr>
                <w:ilvl w:val="0"/>
                <w:numId w:val="0"/>
              </w:numPr>
              <w:tabs>
                <w:tab w:val="left" w:pos="360"/>
              </w:tabs>
              <w:adjustRightInd/>
              <w:snapToGrid/>
              <w:spacing w:line="240" w:lineRule="auto"/>
              <w:ind w:left="0" w:firstLine="0"/>
              <w:jc w:val="center"/>
              <w:rPr>
                <w:rFonts w:ascii="宋体"/>
                <w:sz w:val="21"/>
                <w:szCs w:val="21"/>
              </w:rPr>
            </w:pPr>
            <w:r>
              <w:rPr>
                <w:rFonts w:hint="eastAsia" w:ascii="宋体"/>
                <w:sz w:val="21"/>
                <w:szCs w:val="21"/>
              </w:rPr>
              <w:t>分项工程</w:t>
            </w:r>
          </w:p>
        </w:tc>
      </w:tr>
      <w:tr w14:paraId="72483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continue"/>
            <w:vAlign w:val="center"/>
          </w:tcPr>
          <w:p w14:paraId="277E468D">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40E5A033">
            <w:pPr>
              <w:numPr>
                <w:ilvl w:val="0"/>
                <w:numId w:val="0"/>
              </w:numPr>
              <w:tabs>
                <w:tab w:val="left" w:pos="360"/>
              </w:tabs>
              <w:spacing w:line="240" w:lineRule="auto"/>
              <w:ind w:left="0" w:firstLine="0"/>
              <w:jc w:val="center"/>
              <w:rPr>
                <w:rFonts w:ascii="宋体"/>
                <w:sz w:val="21"/>
                <w:szCs w:val="21"/>
              </w:rPr>
            </w:pPr>
          </w:p>
        </w:tc>
        <w:tc>
          <w:tcPr>
            <w:tcW w:w="786" w:type="dxa"/>
            <w:vAlign w:val="center"/>
          </w:tcPr>
          <w:p w14:paraId="1EF48392">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040" w:type="dxa"/>
            <w:vAlign w:val="center"/>
          </w:tcPr>
          <w:p w14:paraId="6DB480D5">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706" w:type="dxa"/>
            <w:vAlign w:val="center"/>
          </w:tcPr>
          <w:p w14:paraId="1926487B">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830" w:type="dxa"/>
            <w:vAlign w:val="center"/>
          </w:tcPr>
          <w:p w14:paraId="19906F00">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706" w:type="dxa"/>
            <w:vAlign w:val="center"/>
          </w:tcPr>
          <w:p w14:paraId="57FFD55E">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643" w:type="dxa"/>
            <w:vAlign w:val="center"/>
          </w:tcPr>
          <w:p w14:paraId="112DB4D7">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5500" w:type="dxa"/>
            <w:vMerge w:val="continue"/>
            <w:tcBorders>
              <w:right w:val="single" w:color="auto" w:sz="4" w:space="0"/>
            </w:tcBorders>
            <w:vAlign w:val="center"/>
          </w:tcPr>
          <w:p w14:paraId="1139246D">
            <w:pPr>
              <w:numPr>
                <w:ilvl w:val="0"/>
                <w:numId w:val="0"/>
              </w:numPr>
              <w:tabs>
                <w:tab w:val="left" w:pos="360"/>
              </w:tabs>
              <w:spacing w:line="240" w:lineRule="auto"/>
              <w:ind w:left="0" w:firstLine="0"/>
              <w:jc w:val="center"/>
              <w:rPr>
                <w:rFonts w:ascii="宋体"/>
                <w:sz w:val="21"/>
                <w:szCs w:val="21"/>
              </w:rPr>
            </w:pPr>
          </w:p>
        </w:tc>
      </w:tr>
      <w:tr w14:paraId="7963D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vAlign w:val="center"/>
          </w:tcPr>
          <w:p w14:paraId="08385F18">
            <w:pPr>
              <w:numPr>
                <w:ilvl w:val="0"/>
                <w:numId w:val="0"/>
              </w:numPr>
              <w:tabs>
                <w:tab w:val="left" w:pos="360"/>
              </w:tabs>
              <w:spacing w:line="240" w:lineRule="auto"/>
              <w:ind w:left="0" w:firstLine="0"/>
              <w:jc w:val="center"/>
              <w:rPr>
                <w:rFonts w:ascii="宋体"/>
                <w:sz w:val="21"/>
                <w:szCs w:val="21"/>
              </w:rPr>
            </w:pPr>
            <w:r>
              <w:rPr>
                <w:rFonts w:ascii="宋体"/>
                <w:sz w:val="21"/>
                <w:szCs w:val="21"/>
              </w:rPr>
              <w:t>02</w:t>
            </w:r>
          </w:p>
        </w:tc>
        <w:tc>
          <w:tcPr>
            <w:tcW w:w="1227" w:type="dxa"/>
            <w:vMerge w:val="restart"/>
            <w:vAlign w:val="center"/>
          </w:tcPr>
          <w:p w14:paraId="5E063E9D">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升压站建筑工程</w:t>
            </w:r>
          </w:p>
        </w:tc>
        <w:tc>
          <w:tcPr>
            <w:tcW w:w="786" w:type="dxa"/>
            <w:vMerge w:val="restart"/>
            <w:vAlign w:val="center"/>
          </w:tcPr>
          <w:p w14:paraId="19BE11B3">
            <w:pPr>
              <w:numPr>
                <w:ilvl w:val="0"/>
                <w:numId w:val="0"/>
              </w:numPr>
              <w:tabs>
                <w:tab w:val="left" w:pos="360"/>
              </w:tabs>
              <w:spacing w:line="240" w:lineRule="auto"/>
              <w:ind w:left="0" w:firstLine="0"/>
              <w:jc w:val="center"/>
              <w:rPr>
                <w:rFonts w:ascii="宋体"/>
                <w:sz w:val="21"/>
                <w:szCs w:val="21"/>
              </w:rPr>
            </w:pPr>
            <w:r>
              <w:rPr>
                <w:rFonts w:ascii="宋体"/>
                <w:sz w:val="21"/>
                <w:szCs w:val="21"/>
              </w:rPr>
              <w:t>01</w:t>
            </w:r>
          </w:p>
        </w:tc>
        <w:tc>
          <w:tcPr>
            <w:tcW w:w="1040" w:type="dxa"/>
            <w:vMerge w:val="restart"/>
            <w:vAlign w:val="center"/>
          </w:tcPr>
          <w:p w14:paraId="12A847B6">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中控楼和升压站建筑工程</w:t>
            </w:r>
          </w:p>
        </w:tc>
        <w:tc>
          <w:tcPr>
            <w:tcW w:w="706" w:type="dxa"/>
            <w:vMerge w:val="restart"/>
            <w:vAlign w:val="center"/>
          </w:tcPr>
          <w:p w14:paraId="7565DD7B">
            <w:pPr>
              <w:widowControl/>
              <w:numPr>
                <w:ilvl w:val="0"/>
                <w:numId w:val="0"/>
              </w:numPr>
              <w:tabs>
                <w:tab w:val="left" w:pos="360"/>
              </w:tabs>
              <w:spacing w:line="240" w:lineRule="auto"/>
              <w:ind w:left="0" w:firstLine="0"/>
              <w:jc w:val="center"/>
              <w:textAlignment w:val="top"/>
              <w:rPr>
                <w:rFonts w:ascii="宋体" w:hAnsi="宋体" w:cs="宋体"/>
                <w:color w:val="000000"/>
                <w:sz w:val="21"/>
                <w:szCs w:val="21"/>
              </w:rPr>
            </w:pPr>
            <w:r>
              <w:rPr>
                <w:rFonts w:ascii="宋体" w:hAnsi="宋体" w:cs="宋体"/>
                <w:color w:val="000000"/>
                <w:kern w:val="0"/>
                <w:sz w:val="21"/>
                <w:szCs w:val="21"/>
              </w:rPr>
              <w:t>01</w:t>
            </w:r>
          </w:p>
        </w:tc>
        <w:tc>
          <w:tcPr>
            <w:tcW w:w="1830" w:type="dxa"/>
            <w:vMerge w:val="restart"/>
            <w:vAlign w:val="center"/>
          </w:tcPr>
          <w:p w14:paraId="00ACF349">
            <w:pPr>
              <w:widowControl/>
              <w:numPr>
                <w:ilvl w:val="0"/>
                <w:numId w:val="0"/>
              </w:numPr>
              <w:tabs>
                <w:tab w:val="left" w:pos="360"/>
              </w:tabs>
              <w:spacing w:line="240" w:lineRule="auto"/>
              <w:ind w:left="0" w:firstLine="0"/>
              <w:jc w:val="center"/>
              <w:textAlignment w:val="top"/>
              <w:rPr>
                <w:rFonts w:ascii="宋体" w:hAnsi="宋体" w:cs="宋体"/>
                <w:color w:val="000000"/>
                <w:sz w:val="21"/>
                <w:szCs w:val="21"/>
              </w:rPr>
            </w:pPr>
            <w:r>
              <w:rPr>
                <w:rFonts w:hint="eastAsia" w:ascii="宋体" w:hAnsi="宋体" w:cs="宋体"/>
                <w:color w:val="000000"/>
                <w:kern w:val="0"/>
                <w:sz w:val="21"/>
                <w:szCs w:val="21"/>
              </w:rPr>
              <w:t>地基与基础</w:t>
            </w:r>
          </w:p>
        </w:tc>
        <w:tc>
          <w:tcPr>
            <w:tcW w:w="706" w:type="dxa"/>
            <w:vAlign w:val="center"/>
          </w:tcPr>
          <w:p w14:paraId="4E748614">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ascii="宋体" w:hAnsi="宋体" w:cs="宋体"/>
                <w:color w:val="000000"/>
                <w:kern w:val="0"/>
                <w:sz w:val="21"/>
                <w:szCs w:val="21"/>
              </w:rPr>
              <w:t>01</w:t>
            </w:r>
          </w:p>
        </w:tc>
        <w:tc>
          <w:tcPr>
            <w:tcW w:w="1643" w:type="dxa"/>
            <w:vAlign w:val="center"/>
          </w:tcPr>
          <w:p w14:paraId="1B91914E">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hint="eastAsia" w:ascii="宋体" w:hAnsi="宋体" w:cs="宋体"/>
                <w:color w:val="000000"/>
                <w:kern w:val="0"/>
                <w:sz w:val="21"/>
                <w:szCs w:val="21"/>
              </w:rPr>
              <w:t>开挖与回填</w:t>
            </w:r>
          </w:p>
        </w:tc>
        <w:tc>
          <w:tcPr>
            <w:tcW w:w="5500" w:type="dxa"/>
            <w:vAlign w:val="center"/>
          </w:tcPr>
          <w:p w14:paraId="0842C41B">
            <w:pPr>
              <w:widowControl/>
              <w:numPr>
                <w:ilvl w:val="0"/>
                <w:numId w:val="0"/>
              </w:numPr>
              <w:tabs>
                <w:tab w:val="left" w:pos="360"/>
              </w:tabs>
              <w:spacing w:line="240" w:lineRule="auto"/>
              <w:ind w:left="0" w:firstLine="0"/>
              <w:jc w:val="left"/>
              <w:textAlignment w:val="center"/>
              <w:rPr>
                <w:rFonts w:ascii="宋体" w:hAnsi="宋体" w:cs="宋体"/>
                <w:color w:val="000000"/>
                <w:sz w:val="21"/>
                <w:szCs w:val="21"/>
              </w:rPr>
            </w:pPr>
            <w:r>
              <w:rPr>
                <w:rFonts w:hint="eastAsia" w:ascii="宋体" w:hAnsi="宋体" w:cs="宋体"/>
                <w:color w:val="000000"/>
                <w:kern w:val="0"/>
                <w:sz w:val="21"/>
                <w:szCs w:val="21"/>
              </w:rPr>
              <w:t>定位放线、土方开挖、基坑支护、土方回填</w:t>
            </w:r>
          </w:p>
        </w:tc>
      </w:tr>
      <w:tr w14:paraId="1D1F7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411B04E1">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4E0A033E">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6CB7FCC2">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4CB7A050">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4D4908E7">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434882D0">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p>
        </w:tc>
        <w:tc>
          <w:tcPr>
            <w:tcW w:w="706" w:type="dxa"/>
            <w:vAlign w:val="center"/>
          </w:tcPr>
          <w:p w14:paraId="330511C1">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ascii="宋体" w:hAnsi="宋体" w:cs="宋体"/>
                <w:color w:val="000000"/>
                <w:kern w:val="0"/>
                <w:sz w:val="21"/>
                <w:szCs w:val="21"/>
              </w:rPr>
              <w:t>02</w:t>
            </w:r>
          </w:p>
        </w:tc>
        <w:tc>
          <w:tcPr>
            <w:tcW w:w="1643" w:type="dxa"/>
            <w:vAlign w:val="center"/>
          </w:tcPr>
          <w:p w14:paraId="3CADE523">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hint="eastAsia" w:ascii="宋体" w:hAnsi="宋体" w:cs="宋体"/>
                <w:color w:val="000000"/>
                <w:kern w:val="0"/>
                <w:sz w:val="21"/>
                <w:szCs w:val="21"/>
              </w:rPr>
              <w:t>地基处理</w:t>
            </w:r>
          </w:p>
        </w:tc>
        <w:tc>
          <w:tcPr>
            <w:tcW w:w="5500" w:type="dxa"/>
            <w:vAlign w:val="center"/>
          </w:tcPr>
          <w:p w14:paraId="6D7594A1">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cs="宋体"/>
                <w:kern w:val="0"/>
                <w:sz w:val="21"/>
                <w:szCs w:val="21"/>
              </w:rPr>
              <w:t>素土、灰土地基、砂和砂石地基、土木合成材料地基、粉煤灰地基、强夯地基、注浆地基、预压地基、砂石桩复合地基、高压旋喷注浆地基、水泥土搅拌桩地基、土和灰土挤密桩复合地基、水泥粉煤灰碎石桩复合地基、夯实水泥土桩复合地基工程、混凝土换填地基</w:t>
            </w:r>
          </w:p>
        </w:tc>
      </w:tr>
      <w:tr w14:paraId="3A7F3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6ECF36E">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644695A6">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528FED88">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572462E9">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43D244B2">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72A62D71">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p>
        </w:tc>
        <w:tc>
          <w:tcPr>
            <w:tcW w:w="706" w:type="dxa"/>
            <w:vAlign w:val="center"/>
          </w:tcPr>
          <w:p w14:paraId="60F771AC">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ascii="宋体" w:hAnsi="宋体" w:cs="宋体"/>
                <w:color w:val="000000"/>
                <w:kern w:val="0"/>
                <w:sz w:val="21"/>
                <w:szCs w:val="21"/>
              </w:rPr>
              <w:t>03</w:t>
            </w:r>
          </w:p>
        </w:tc>
        <w:tc>
          <w:tcPr>
            <w:tcW w:w="1643" w:type="dxa"/>
            <w:vAlign w:val="center"/>
          </w:tcPr>
          <w:p w14:paraId="7B7C16D3">
            <w:pPr>
              <w:widowControl/>
              <w:numPr>
                <w:ilvl w:val="0"/>
                <w:numId w:val="0"/>
              </w:numPr>
              <w:tabs>
                <w:tab w:val="left" w:pos="360"/>
              </w:tabs>
              <w:spacing w:line="240" w:lineRule="auto"/>
              <w:ind w:left="0" w:firstLine="0"/>
              <w:jc w:val="center"/>
              <w:textAlignment w:val="center"/>
              <w:rPr>
                <w:rFonts w:ascii="宋体" w:hAnsi="宋体" w:cs="宋体"/>
                <w:color w:val="FF0000"/>
                <w:sz w:val="21"/>
                <w:szCs w:val="21"/>
              </w:rPr>
            </w:pPr>
            <w:r>
              <w:rPr>
                <w:rFonts w:hint="eastAsia" w:ascii="宋体" w:hAnsi="宋体" w:cs="宋体"/>
                <w:color w:val="000000"/>
                <w:kern w:val="0"/>
                <w:sz w:val="21"/>
                <w:szCs w:val="21"/>
              </w:rPr>
              <w:t>桩基</w:t>
            </w:r>
          </w:p>
        </w:tc>
        <w:tc>
          <w:tcPr>
            <w:tcW w:w="5500" w:type="dxa"/>
            <w:vAlign w:val="center"/>
          </w:tcPr>
          <w:p w14:paraId="72ADF6CB">
            <w:pPr>
              <w:widowControl/>
              <w:numPr>
                <w:ilvl w:val="0"/>
                <w:numId w:val="0"/>
              </w:numPr>
              <w:tabs>
                <w:tab w:val="left" w:pos="360"/>
              </w:tabs>
              <w:spacing w:line="240" w:lineRule="auto"/>
              <w:ind w:left="0" w:firstLine="0"/>
              <w:jc w:val="left"/>
              <w:textAlignment w:val="center"/>
              <w:rPr>
                <w:rFonts w:ascii="宋体" w:hAnsi="宋体" w:cs="宋体"/>
                <w:color w:val="FF0000"/>
                <w:sz w:val="21"/>
                <w:szCs w:val="21"/>
              </w:rPr>
            </w:pPr>
            <w:r>
              <w:rPr>
                <w:rFonts w:hint="eastAsia" w:ascii="宋体" w:hAnsi="宋体" w:cs="宋体"/>
                <w:color w:val="000000"/>
                <w:kern w:val="0"/>
                <w:sz w:val="21"/>
                <w:szCs w:val="21"/>
              </w:rPr>
              <w:t>混凝土预制桩模板安装工程、混凝土预制桩钢筋安装、混凝土预制桩外观质量及尺寸偏差、混凝土预制桩施工（锤击）、静力压桩、先张法预应力管桩、成品钢桩、钢桩施工、锚杆静压桩、泥浆护壁成孔灌注桩、干作业成孔灌注桩、长螺旋钻孔压灌桩、沉管灌注桩、岩石锚杆基础、沉井（箱）工程</w:t>
            </w:r>
          </w:p>
        </w:tc>
      </w:tr>
      <w:tr w14:paraId="20F6E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B44CA7B">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7EE6AF19">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6A7E9DFA">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16D26AFD">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6BC4C66E">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3684E503">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p>
        </w:tc>
        <w:tc>
          <w:tcPr>
            <w:tcW w:w="706" w:type="dxa"/>
            <w:vAlign w:val="center"/>
          </w:tcPr>
          <w:p w14:paraId="5B7A73B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04</w:t>
            </w:r>
          </w:p>
        </w:tc>
        <w:tc>
          <w:tcPr>
            <w:tcW w:w="1643" w:type="dxa"/>
            <w:vAlign w:val="center"/>
          </w:tcPr>
          <w:p w14:paraId="3AE6C0CD">
            <w:pPr>
              <w:widowControl/>
              <w:numPr>
                <w:ilvl w:val="0"/>
                <w:numId w:val="0"/>
              </w:numPr>
              <w:tabs>
                <w:tab w:val="left" w:pos="360"/>
              </w:tabs>
              <w:spacing w:line="240" w:lineRule="auto"/>
              <w:ind w:left="0" w:firstLine="0"/>
              <w:jc w:val="center"/>
              <w:textAlignment w:val="center"/>
              <w:rPr>
                <w:rFonts w:ascii="宋体" w:hAnsi="宋体" w:cs="宋体"/>
                <w:color w:val="FF0000"/>
                <w:kern w:val="0"/>
                <w:sz w:val="21"/>
                <w:szCs w:val="21"/>
              </w:rPr>
            </w:pPr>
            <w:r>
              <w:rPr>
                <w:rFonts w:hint="eastAsia" w:ascii="宋体" w:hAnsi="宋体" w:cs="宋体"/>
                <w:color w:val="000000"/>
                <w:kern w:val="0"/>
                <w:sz w:val="21"/>
                <w:szCs w:val="21"/>
              </w:rPr>
              <w:t>混凝土基础</w:t>
            </w:r>
          </w:p>
        </w:tc>
        <w:tc>
          <w:tcPr>
            <w:tcW w:w="5500" w:type="dxa"/>
            <w:vAlign w:val="center"/>
          </w:tcPr>
          <w:p w14:paraId="31CF245A">
            <w:pPr>
              <w:widowControl/>
              <w:numPr>
                <w:ilvl w:val="0"/>
                <w:numId w:val="0"/>
              </w:numPr>
              <w:tabs>
                <w:tab w:val="left" w:pos="360"/>
              </w:tabs>
              <w:spacing w:line="240" w:lineRule="auto"/>
              <w:ind w:left="0" w:firstLine="0"/>
              <w:jc w:val="left"/>
              <w:textAlignment w:val="center"/>
              <w:rPr>
                <w:rFonts w:ascii="宋体" w:hAnsi="宋体" w:cs="宋体"/>
                <w:color w:val="FF0000"/>
                <w:kern w:val="0"/>
                <w:sz w:val="21"/>
                <w:szCs w:val="21"/>
              </w:rPr>
            </w:pPr>
            <w:r>
              <w:rPr>
                <w:rFonts w:hint="eastAsia" w:ascii="宋体" w:hAnsi="宋体" w:cs="宋体"/>
                <w:color w:val="000000"/>
                <w:kern w:val="0"/>
                <w:sz w:val="21"/>
                <w:szCs w:val="21"/>
              </w:rPr>
              <w:t>垫层、模板、钢筋、混凝土、混凝土防腐</w:t>
            </w:r>
          </w:p>
        </w:tc>
      </w:tr>
      <w:tr w14:paraId="45709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200C68DA">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5C98404A">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323F3F31">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35689B73">
            <w:pPr>
              <w:numPr>
                <w:ilvl w:val="0"/>
                <w:numId w:val="0"/>
              </w:numPr>
              <w:tabs>
                <w:tab w:val="left" w:pos="360"/>
              </w:tabs>
              <w:spacing w:line="240" w:lineRule="auto"/>
              <w:ind w:left="0" w:firstLine="0"/>
              <w:jc w:val="center"/>
              <w:rPr>
                <w:rFonts w:ascii="宋体"/>
                <w:sz w:val="21"/>
                <w:szCs w:val="21"/>
              </w:rPr>
            </w:pPr>
          </w:p>
        </w:tc>
        <w:tc>
          <w:tcPr>
            <w:tcW w:w="706" w:type="dxa"/>
            <w:vMerge w:val="restart"/>
            <w:vAlign w:val="center"/>
          </w:tcPr>
          <w:p w14:paraId="013DC059">
            <w:pPr>
              <w:numPr>
                <w:ilvl w:val="0"/>
                <w:numId w:val="0"/>
              </w:numPr>
              <w:tabs>
                <w:tab w:val="left" w:pos="360"/>
              </w:tabs>
              <w:spacing w:line="240" w:lineRule="auto"/>
              <w:ind w:left="0" w:firstLine="0"/>
              <w:jc w:val="center"/>
              <w:rPr>
                <w:rFonts w:ascii="宋体"/>
                <w:sz w:val="21"/>
                <w:szCs w:val="21"/>
              </w:rPr>
            </w:pPr>
            <w:r>
              <w:rPr>
                <w:rFonts w:ascii="宋体"/>
                <w:sz w:val="21"/>
                <w:szCs w:val="21"/>
              </w:rPr>
              <w:t>02</w:t>
            </w:r>
          </w:p>
        </w:tc>
        <w:tc>
          <w:tcPr>
            <w:tcW w:w="1830" w:type="dxa"/>
            <w:vMerge w:val="restart"/>
            <w:vAlign w:val="center"/>
          </w:tcPr>
          <w:p w14:paraId="26FB1C31">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hint="eastAsia" w:ascii="宋体" w:hAnsi="宋体" w:cs="宋体"/>
                <w:color w:val="000000"/>
                <w:kern w:val="0"/>
                <w:sz w:val="21"/>
                <w:szCs w:val="21"/>
              </w:rPr>
              <w:t>主体结构</w:t>
            </w:r>
          </w:p>
        </w:tc>
        <w:tc>
          <w:tcPr>
            <w:tcW w:w="706" w:type="dxa"/>
            <w:vAlign w:val="center"/>
          </w:tcPr>
          <w:p w14:paraId="18B67A2C">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1643" w:type="dxa"/>
            <w:vAlign w:val="center"/>
          </w:tcPr>
          <w:p w14:paraId="1C49C6A5">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混凝土结构</w:t>
            </w:r>
          </w:p>
        </w:tc>
        <w:tc>
          <w:tcPr>
            <w:tcW w:w="5500" w:type="dxa"/>
            <w:vAlign w:val="center"/>
          </w:tcPr>
          <w:p w14:paraId="140F1321">
            <w:pPr>
              <w:widowControl/>
              <w:numPr>
                <w:ilvl w:val="0"/>
                <w:numId w:val="0"/>
              </w:numPr>
              <w:tabs>
                <w:tab w:val="left" w:pos="360"/>
              </w:tabs>
              <w:spacing w:line="240" w:lineRule="auto"/>
              <w:ind w:left="0" w:firstLine="0"/>
              <w:jc w:val="left"/>
              <w:textAlignment w:val="center"/>
              <w:rPr>
                <w:rFonts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模板、钢筋、混凝土、现浇结构、装配式结构</w:t>
            </w:r>
          </w:p>
        </w:tc>
      </w:tr>
      <w:tr w14:paraId="4E293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5DB2553">
            <w:pPr>
              <w:numPr>
                <w:ilvl w:val="0"/>
                <w:numId w:val="1"/>
              </w:numPr>
              <w:tabs>
                <w:tab w:val="left" w:pos="360"/>
              </w:tabs>
              <w:spacing w:line="240" w:lineRule="auto"/>
              <w:ind w:left="0" w:firstLine="0"/>
              <w:jc w:val="center"/>
              <w:rPr>
                <w:rFonts w:ascii="宋体"/>
                <w:sz w:val="21"/>
                <w:szCs w:val="21"/>
              </w:rPr>
            </w:pPr>
          </w:p>
        </w:tc>
        <w:tc>
          <w:tcPr>
            <w:tcW w:w="1227" w:type="dxa"/>
            <w:vMerge w:val="continue"/>
            <w:vAlign w:val="center"/>
          </w:tcPr>
          <w:p w14:paraId="4114F15B">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5009DE01">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0AE249C4">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2D745977">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501FE7A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0F23681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1643" w:type="dxa"/>
            <w:vAlign w:val="center"/>
          </w:tcPr>
          <w:p w14:paraId="5AF3FDA8">
            <w:pPr>
              <w:widowControl/>
              <w:numPr>
                <w:ilvl w:val="0"/>
                <w:numId w:val="0"/>
              </w:numPr>
              <w:tabs>
                <w:tab w:val="left" w:pos="360"/>
              </w:tabs>
              <w:spacing w:line="240" w:lineRule="auto"/>
              <w:ind w:left="0" w:firstLine="0"/>
              <w:jc w:val="center"/>
              <w:textAlignment w:val="center"/>
              <w:rPr>
                <w:rFonts w:ascii="宋体" w:hAnsi="宋体" w:cs="宋体"/>
                <w:color w:val="FF0000"/>
                <w:kern w:val="0"/>
                <w:sz w:val="21"/>
                <w:szCs w:val="21"/>
              </w:rPr>
            </w:pPr>
            <w:r>
              <w:rPr>
                <w:rFonts w:hint="eastAsia" w:ascii="宋体" w:hAnsi="宋体" w:cs="宋体"/>
                <w:color w:val="000000"/>
                <w:kern w:val="0"/>
                <w:sz w:val="21"/>
                <w:szCs w:val="21"/>
              </w:rPr>
              <w:t>砌体结构</w:t>
            </w:r>
          </w:p>
        </w:tc>
        <w:tc>
          <w:tcPr>
            <w:tcW w:w="5500" w:type="dxa"/>
            <w:vAlign w:val="center"/>
          </w:tcPr>
          <w:p w14:paraId="68047067">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砖砌体、混凝土小型空心砌块砌体、填充墙砌体</w:t>
            </w:r>
          </w:p>
        </w:tc>
      </w:tr>
      <w:tr w14:paraId="594D0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3E76134">
            <w:pPr>
              <w:numPr>
                <w:ilvl w:val="0"/>
                <w:numId w:val="1"/>
              </w:numPr>
              <w:tabs>
                <w:tab w:val="left" w:pos="360"/>
              </w:tabs>
              <w:spacing w:line="240" w:lineRule="auto"/>
              <w:ind w:left="0" w:firstLine="0"/>
              <w:jc w:val="center"/>
              <w:rPr>
                <w:rFonts w:ascii="宋体"/>
                <w:sz w:val="21"/>
                <w:szCs w:val="21"/>
              </w:rPr>
            </w:pPr>
          </w:p>
        </w:tc>
        <w:tc>
          <w:tcPr>
            <w:tcW w:w="1227" w:type="dxa"/>
            <w:vMerge w:val="continue"/>
            <w:vAlign w:val="center"/>
          </w:tcPr>
          <w:p w14:paraId="7EB2CE76">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7D4A5191">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20F69110">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0B187425">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2445942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tcBorders>
              <w:bottom w:val="single" w:color="000000" w:sz="4" w:space="0"/>
            </w:tcBorders>
            <w:vAlign w:val="center"/>
          </w:tcPr>
          <w:p w14:paraId="26DF575C">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03</w:t>
            </w:r>
          </w:p>
        </w:tc>
        <w:tc>
          <w:tcPr>
            <w:tcW w:w="1643" w:type="dxa"/>
            <w:tcBorders>
              <w:bottom w:val="single" w:color="000000" w:sz="4" w:space="0"/>
            </w:tcBorders>
            <w:vAlign w:val="center"/>
          </w:tcPr>
          <w:p w14:paraId="1348F880">
            <w:pPr>
              <w:widowControl/>
              <w:numPr>
                <w:ilvl w:val="0"/>
                <w:numId w:val="0"/>
              </w:numPr>
              <w:tabs>
                <w:tab w:val="left" w:pos="360"/>
              </w:tabs>
              <w:spacing w:line="240" w:lineRule="auto"/>
              <w:ind w:left="0" w:firstLine="0"/>
              <w:jc w:val="center"/>
              <w:textAlignment w:val="center"/>
              <w:rPr>
                <w:rFonts w:ascii="宋体" w:hAnsi="宋体" w:cs="宋体"/>
                <w:color w:val="FF0000"/>
                <w:kern w:val="0"/>
                <w:sz w:val="21"/>
                <w:szCs w:val="21"/>
              </w:rPr>
            </w:pPr>
            <w:r>
              <w:rPr>
                <w:rFonts w:hint="eastAsia" w:ascii="宋体" w:hAnsi="宋体" w:cs="宋体"/>
                <w:color w:val="000000"/>
                <w:kern w:val="0"/>
                <w:sz w:val="21"/>
                <w:szCs w:val="21"/>
              </w:rPr>
              <w:t>钢结构</w:t>
            </w:r>
          </w:p>
        </w:tc>
        <w:tc>
          <w:tcPr>
            <w:tcW w:w="5500" w:type="dxa"/>
            <w:tcBorders>
              <w:bottom w:val="single" w:color="000000" w:sz="4" w:space="0"/>
            </w:tcBorders>
            <w:vAlign w:val="center"/>
          </w:tcPr>
          <w:p w14:paraId="39B2BC67">
            <w:pPr>
              <w:widowControl/>
              <w:numPr>
                <w:ilvl w:val="0"/>
                <w:numId w:val="0"/>
              </w:numPr>
              <w:tabs>
                <w:tab w:val="left" w:pos="360"/>
              </w:tabs>
              <w:spacing w:line="240" w:lineRule="auto"/>
              <w:ind w:left="0" w:firstLine="0"/>
              <w:jc w:val="left"/>
              <w:textAlignment w:val="center"/>
              <w:rPr>
                <w:rFonts w:ascii="宋体" w:hAnsi="宋体" w:cs="宋体"/>
                <w:color w:val="FF0000"/>
                <w:kern w:val="0"/>
                <w:sz w:val="21"/>
                <w:szCs w:val="21"/>
              </w:rPr>
            </w:pPr>
            <w:r>
              <w:rPr>
                <w:rFonts w:hint="eastAsia" w:ascii="宋体" w:hAnsi="宋体" w:cs="宋体"/>
                <w:color w:val="000000"/>
                <w:kern w:val="0"/>
                <w:sz w:val="21"/>
                <w:szCs w:val="21"/>
              </w:rPr>
              <w:t>钢结构焊接、紧固件连接、钢结构涂装、钢构件组装、压型金属板工程</w:t>
            </w:r>
          </w:p>
        </w:tc>
      </w:tr>
      <w:tr w14:paraId="18F2D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F88A57A">
            <w:pPr>
              <w:numPr>
                <w:ilvl w:val="0"/>
                <w:numId w:val="1"/>
              </w:numPr>
              <w:tabs>
                <w:tab w:val="left" w:pos="360"/>
              </w:tabs>
              <w:spacing w:line="240" w:lineRule="auto"/>
              <w:ind w:left="0" w:firstLine="0"/>
              <w:jc w:val="center"/>
              <w:rPr>
                <w:rFonts w:ascii="宋体"/>
                <w:sz w:val="21"/>
                <w:szCs w:val="21"/>
              </w:rPr>
            </w:pPr>
          </w:p>
        </w:tc>
        <w:tc>
          <w:tcPr>
            <w:tcW w:w="1227" w:type="dxa"/>
            <w:vMerge w:val="continue"/>
            <w:vAlign w:val="center"/>
          </w:tcPr>
          <w:p w14:paraId="7135C694">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3A2DFB51">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681E965A">
            <w:pPr>
              <w:numPr>
                <w:ilvl w:val="0"/>
                <w:numId w:val="1"/>
              </w:numPr>
              <w:tabs>
                <w:tab w:val="left" w:pos="360"/>
              </w:tabs>
              <w:spacing w:line="240" w:lineRule="auto"/>
              <w:ind w:left="0" w:firstLine="0"/>
              <w:jc w:val="center"/>
              <w:rPr>
                <w:rFonts w:ascii="宋体"/>
                <w:sz w:val="21"/>
                <w:szCs w:val="21"/>
              </w:rPr>
            </w:pPr>
          </w:p>
        </w:tc>
        <w:tc>
          <w:tcPr>
            <w:tcW w:w="706" w:type="dxa"/>
            <w:vMerge w:val="restart"/>
            <w:vAlign w:val="center"/>
          </w:tcPr>
          <w:p w14:paraId="1B567C99">
            <w:pPr>
              <w:numPr>
                <w:ilvl w:val="0"/>
                <w:numId w:val="0"/>
              </w:numPr>
              <w:tabs>
                <w:tab w:val="left" w:pos="360"/>
              </w:tabs>
              <w:spacing w:line="240" w:lineRule="auto"/>
              <w:ind w:left="0" w:firstLine="0"/>
              <w:jc w:val="center"/>
              <w:rPr>
                <w:rFonts w:ascii="宋体"/>
                <w:sz w:val="21"/>
                <w:szCs w:val="21"/>
              </w:rPr>
            </w:pPr>
            <w:r>
              <w:rPr>
                <w:rFonts w:ascii="宋体"/>
                <w:sz w:val="21"/>
                <w:szCs w:val="21"/>
              </w:rPr>
              <w:t>03</w:t>
            </w:r>
          </w:p>
        </w:tc>
        <w:tc>
          <w:tcPr>
            <w:tcW w:w="1830" w:type="dxa"/>
            <w:vMerge w:val="restart"/>
            <w:vAlign w:val="center"/>
          </w:tcPr>
          <w:p w14:paraId="5BD945B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装饰装修</w:t>
            </w:r>
          </w:p>
        </w:tc>
        <w:tc>
          <w:tcPr>
            <w:tcW w:w="706" w:type="dxa"/>
            <w:shd w:val="clear" w:color="auto" w:fill="FFFFFF" w:themeFill="background1"/>
            <w:vAlign w:val="center"/>
          </w:tcPr>
          <w:p w14:paraId="388BF39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1643" w:type="dxa"/>
            <w:shd w:val="clear" w:color="auto" w:fill="FFFFFF" w:themeFill="background1"/>
            <w:vAlign w:val="center"/>
          </w:tcPr>
          <w:p w14:paraId="1DD563A0">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地面</w:t>
            </w:r>
          </w:p>
        </w:tc>
        <w:tc>
          <w:tcPr>
            <w:tcW w:w="5500" w:type="dxa"/>
            <w:shd w:val="clear" w:color="auto" w:fill="FFFFFF" w:themeFill="background1"/>
            <w:vAlign w:val="center"/>
          </w:tcPr>
          <w:p w14:paraId="7BC4E4CA">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基层、水泥混凝土面层、砖面层</w:t>
            </w:r>
          </w:p>
        </w:tc>
      </w:tr>
      <w:tr w14:paraId="37AAD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7DF466B">
            <w:pPr>
              <w:numPr>
                <w:ilvl w:val="0"/>
                <w:numId w:val="1"/>
              </w:numPr>
              <w:tabs>
                <w:tab w:val="left" w:pos="360"/>
              </w:tabs>
              <w:spacing w:line="240" w:lineRule="auto"/>
              <w:ind w:left="0" w:firstLine="0"/>
              <w:jc w:val="center"/>
              <w:rPr>
                <w:rFonts w:ascii="宋体"/>
                <w:sz w:val="21"/>
                <w:szCs w:val="21"/>
              </w:rPr>
            </w:pPr>
          </w:p>
        </w:tc>
        <w:tc>
          <w:tcPr>
            <w:tcW w:w="1227" w:type="dxa"/>
            <w:vMerge w:val="continue"/>
            <w:vAlign w:val="center"/>
          </w:tcPr>
          <w:p w14:paraId="127E335B">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459B9E01">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64F632B6">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39194597">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6977DD4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shd w:val="clear" w:color="auto" w:fill="FFFFFF" w:themeFill="background1"/>
            <w:vAlign w:val="center"/>
          </w:tcPr>
          <w:p w14:paraId="059DB0C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1643" w:type="dxa"/>
            <w:shd w:val="clear" w:color="auto" w:fill="FFFFFF" w:themeFill="background1"/>
            <w:vAlign w:val="center"/>
          </w:tcPr>
          <w:p w14:paraId="729AB2AE">
            <w:pPr>
              <w:widowControl/>
              <w:numPr>
                <w:ilvl w:val="0"/>
                <w:numId w:val="0"/>
              </w:numPr>
              <w:tabs>
                <w:tab w:val="left" w:pos="360"/>
              </w:tabs>
              <w:spacing w:line="240" w:lineRule="auto"/>
              <w:ind w:left="0" w:firstLine="0"/>
              <w:jc w:val="center"/>
              <w:textAlignment w:val="center"/>
              <w:rPr>
                <w:rFonts w:ascii="宋体" w:hAnsi="宋体" w:cs="宋体"/>
                <w:color w:val="FF0000"/>
                <w:kern w:val="0"/>
                <w:sz w:val="21"/>
                <w:szCs w:val="21"/>
              </w:rPr>
            </w:pPr>
            <w:r>
              <w:rPr>
                <w:rFonts w:hint="eastAsia" w:ascii="宋体" w:hAnsi="宋体" w:cs="宋体"/>
                <w:color w:val="000000"/>
                <w:kern w:val="0"/>
                <w:sz w:val="21"/>
                <w:szCs w:val="21"/>
              </w:rPr>
              <w:t>抹灰</w:t>
            </w:r>
          </w:p>
        </w:tc>
        <w:tc>
          <w:tcPr>
            <w:tcW w:w="5500" w:type="dxa"/>
            <w:shd w:val="clear" w:color="auto" w:fill="FFFFFF" w:themeFill="background1"/>
            <w:vAlign w:val="center"/>
          </w:tcPr>
          <w:p w14:paraId="44694082">
            <w:pPr>
              <w:widowControl/>
              <w:numPr>
                <w:ilvl w:val="0"/>
                <w:numId w:val="0"/>
              </w:numPr>
              <w:tabs>
                <w:tab w:val="left" w:pos="360"/>
              </w:tabs>
              <w:spacing w:line="240" w:lineRule="auto"/>
              <w:ind w:left="0" w:firstLine="0"/>
              <w:jc w:val="left"/>
              <w:textAlignment w:val="center"/>
              <w:rPr>
                <w:rFonts w:ascii="宋体" w:hAnsi="宋体" w:cs="宋体"/>
                <w:color w:val="FF0000"/>
                <w:kern w:val="0"/>
                <w:sz w:val="21"/>
                <w:szCs w:val="21"/>
              </w:rPr>
            </w:pPr>
            <w:r>
              <w:rPr>
                <w:rFonts w:hint="eastAsia" w:ascii="宋体" w:hAnsi="宋体" w:cs="宋体"/>
                <w:color w:val="000000"/>
                <w:kern w:val="0"/>
                <w:sz w:val="21"/>
                <w:szCs w:val="21"/>
              </w:rPr>
              <w:t>一般抹灰、装饰抹灰、清水砌体勾缝、保温层薄抹灰</w:t>
            </w:r>
          </w:p>
        </w:tc>
      </w:tr>
      <w:tr w14:paraId="17B8C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80C3E9B">
            <w:pPr>
              <w:numPr>
                <w:ilvl w:val="0"/>
                <w:numId w:val="1"/>
              </w:numPr>
              <w:tabs>
                <w:tab w:val="left" w:pos="360"/>
              </w:tabs>
              <w:spacing w:line="240" w:lineRule="auto"/>
              <w:ind w:left="0" w:firstLine="0"/>
              <w:jc w:val="center"/>
              <w:rPr>
                <w:rFonts w:ascii="宋体"/>
                <w:sz w:val="21"/>
                <w:szCs w:val="21"/>
              </w:rPr>
            </w:pPr>
          </w:p>
        </w:tc>
        <w:tc>
          <w:tcPr>
            <w:tcW w:w="1227" w:type="dxa"/>
            <w:vMerge w:val="continue"/>
            <w:vAlign w:val="center"/>
          </w:tcPr>
          <w:p w14:paraId="42D2F0A8">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48B1C6C9">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13E3B15D">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4028C9B2">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5C2BCBAC">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shd w:val="clear" w:color="auto" w:fill="FFFFFF" w:themeFill="background1"/>
            <w:vAlign w:val="center"/>
          </w:tcPr>
          <w:p w14:paraId="3E0F04C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03</w:t>
            </w:r>
          </w:p>
        </w:tc>
        <w:tc>
          <w:tcPr>
            <w:tcW w:w="1643" w:type="dxa"/>
            <w:shd w:val="clear" w:color="auto" w:fill="FFFFFF" w:themeFill="background1"/>
            <w:vAlign w:val="center"/>
          </w:tcPr>
          <w:p w14:paraId="402DD1E5">
            <w:pPr>
              <w:widowControl/>
              <w:numPr>
                <w:ilvl w:val="0"/>
                <w:numId w:val="0"/>
              </w:numPr>
              <w:tabs>
                <w:tab w:val="left" w:pos="360"/>
              </w:tabs>
              <w:spacing w:line="240" w:lineRule="auto"/>
              <w:ind w:left="0" w:firstLine="0"/>
              <w:jc w:val="center"/>
              <w:textAlignment w:val="center"/>
              <w:rPr>
                <w:rFonts w:ascii="宋体" w:hAnsi="宋体" w:cs="宋体"/>
                <w:color w:val="FF0000"/>
                <w:kern w:val="0"/>
                <w:sz w:val="21"/>
                <w:szCs w:val="21"/>
              </w:rPr>
            </w:pPr>
            <w:r>
              <w:rPr>
                <w:rFonts w:hint="eastAsia" w:ascii="宋体" w:hAnsi="宋体" w:cs="宋体"/>
                <w:color w:val="000000"/>
                <w:kern w:val="0"/>
                <w:sz w:val="21"/>
                <w:szCs w:val="21"/>
              </w:rPr>
              <w:t>门窗</w:t>
            </w:r>
          </w:p>
        </w:tc>
        <w:tc>
          <w:tcPr>
            <w:tcW w:w="5500" w:type="dxa"/>
            <w:shd w:val="clear" w:color="auto" w:fill="FFFFFF" w:themeFill="background1"/>
            <w:vAlign w:val="center"/>
          </w:tcPr>
          <w:p w14:paraId="0D0AE552">
            <w:pPr>
              <w:widowControl/>
              <w:numPr>
                <w:ilvl w:val="0"/>
                <w:numId w:val="0"/>
              </w:numPr>
              <w:tabs>
                <w:tab w:val="left" w:pos="360"/>
              </w:tabs>
              <w:spacing w:line="240" w:lineRule="auto"/>
              <w:ind w:left="0" w:firstLine="0"/>
              <w:jc w:val="left"/>
              <w:textAlignment w:val="center"/>
              <w:rPr>
                <w:rFonts w:ascii="宋体" w:hAnsi="宋体" w:cs="宋体"/>
                <w:color w:val="FF0000"/>
                <w:kern w:val="0"/>
                <w:sz w:val="21"/>
                <w:szCs w:val="21"/>
              </w:rPr>
            </w:pPr>
            <w:r>
              <w:rPr>
                <w:rFonts w:hint="eastAsia" w:ascii="宋体" w:hAnsi="宋体" w:cs="宋体"/>
                <w:color w:val="000000"/>
                <w:kern w:val="0"/>
                <w:sz w:val="21"/>
                <w:szCs w:val="21"/>
              </w:rPr>
              <w:t>木门窗安装、金属门窗安装、塑料门窗安装、特种门安装、防火窗安装、门窗玻璃安装</w:t>
            </w:r>
          </w:p>
        </w:tc>
      </w:tr>
      <w:tr w14:paraId="02BAA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270CA822">
            <w:pPr>
              <w:numPr>
                <w:ilvl w:val="0"/>
                <w:numId w:val="1"/>
              </w:numPr>
              <w:tabs>
                <w:tab w:val="left" w:pos="360"/>
              </w:tabs>
              <w:spacing w:line="240" w:lineRule="auto"/>
              <w:ind w:left="0" w:firstLine="0"/>
              <w:jc w:val="center"/>
              <w:rPr>
                <w:rFonts w:ascii="宋体"/>
                <w:sz w:val="21"/>
                <w:szCs w:val="21"/>
              </w:rPr>
            </w:pPr>
          </w:p>
        </w:tc>
        <w:tc>
          <w:tcPr>
            <w:tcW w:w="1227" w:type="dxa"/>
            <w:vMerge w:val="continue"/>
            <w:vAlign w:val="center"/>
          </w:tcPr>
          <w:p w14:paraId="295310AB">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69FA7A93">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784BC3C5">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146C99D2">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41DF4C8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shd w:val="clear" w:color="auto" w:fill="FFFFFF" w:themeFill="background1"/>
            <w:vAlign w:val="center"/>
          </w:tcPr>
          <w:p w14:paraId="1AB1683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04</w:t>
            </w:r>
          </w:p>
        </w:tc>
        <w:tc>
          <w:tcPr>
            <w:tcW w:w="1643" w:type="dxa"/>
            <w:shd w:val="clear" w:color="auto" w:fill="FFFFFF" w:themeFill="background1"/>
            <w:vAlign w:val="center"/>
          </w:tcPr>
          <w:p w14:paraId="2A5F5769">
            <w:pPr>
              <w:widowControl/>
              <w:numPr>
                <w:ilvl w:val="0"/>
                <w:numId w:val="0"/>
              </w:numPr>
              <w:tabs>
                <w:tab w:val="left" w:pos="360"/>
              </w:tabs>
              <w:spacing w:line="240" w:lineRule="auto"/>
              <w:ind w:left="0" w:firstLine="0"/>
              <w:jc w:val="center"/>
              <w:textAlignment w:val="center"/>
              <w:rPr>
                <w:rFonts w:ascii="宋体" w:hAnsi="宋体" w:cs="宋体"/>
                <w:color w:val="FF0000"/>
                <w:kern w:val="0"/>
                <w:sz w:val="21"/>
                <w:szCs w:val="21"/>
              </w:rPr>
            </w:pPr>
            <w:r>
              <w:rPr>
                <w:rFonts w:hint="eastAsia" w:ascii="宋体" w:hAnsi="宋体" w:cs="宋体"/>
                <w:color w:val="000000"/>
                <w:kern w:val="0"/>
                <w:sz w:val="21"/>
                <w:szCs w:val="21"/>
              </w:rPr>
              <w:t>涂饰</w:t>
            </w:r>
          </w:p>
        </w:tc>
        <w:tc>
          <w:tcPr>
            <w:tcW w:w="5500" w:type="dxa"/>
            <w:shd w:val="clear" w:color="auto" w:fill="FFFFFF" w:themeFill="background1"/>
            <w:vAlign w:val="center"/>
          </w:tcPr>
          <w:p w14:paraId="4D5FC0D3">
            <w:pPr>
              <w:widowControl/>
              <w:numPr>
                <w:ilvl w:val="0"/>
                <w:numId w:val="0"/>
              </w:numPr>
              <w:tabs>
                <w:tab w:val="left" w:pos="360"/>
              </w:tabs>
              <w:spacing w:line="240" w:lineRule="auto"/>
              <w:ind w:left="0" w:firstLine="0"/>
              <w:jc w:val="left"/>
              <w:textAlignment w:val="center"/>
              <w:rPr>
                <w:rFonts w:ascii="宋体" w:hAnsi="宋体" w:cs="宋体"/>
                <w:color w:val="FF0000"/>
                <w:kern w:val="0"/>
                <w:sz w:val="21"/>
                <w:szCs w:val="21"/>
              </w:rPr>
            </w:pPr>
            <w:r>
              <w:rPr>
                <w:rFonts w:hint="eastAsia" w:ascii="宋体" w:hAnsi="宋体" w:cs="宋体"/>
                <w:color w:val="000000"/>
                <w:kern w:val="0"/>
                <w:sz w:val="21"/>
                <w:szCs w:val="21"/>
              </w:rPr>
              <w:t>水性涂料涂饰、溶剂型涂料涂饰</w:t>
            </w:r>
          </w:p>
        </w:tc>
      </w:tr>
      <w:tr w14:paraId="158DD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49B00099">
            <w:pPr>
              <w:numPr>
                <w:ilvl w:val="0"/>
                <w:numId w:val="1"/>
              </w:numPr>
              <w:tabs>
                <w:tab w:val="left" w:pos="360"/>
              </w:tabs>
              <w:spacing w:line="240" w:lineRule="auto"/>
              <w:ind w:left="0" w:firstLine="0"/>
              <w:jc w:val="center"/>
              <w:rPr>
                <w:rFonts w:ascii="宋体"/>
                <w:sz w:val="21"/>
                <w:szCs w:val="21"/>
              </w:rPr>
            </w:pPr>
          </w:p>
        </w:tc>
        <w:tc>
          <w:tcPr>
            <w:tcW w:w="1227" w:type="dxa"/>
            <w:vMerge w:val="continue"/>
            <w:vAlign w:val="center"/>
          </w:tcPr>
          <w:p w14:paraId="47C8DC47">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276AEA09">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45ADA05C">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37982261">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669E75A3">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shd w:val="clear" w:color="auto" w:fill="FFFFFF" w:themeFill="background1"/>
            <w:vAlign w:val="center"/>
          </w:tcPr>
          <w:p w14:paraId="159235E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05</w:t>
            </w:r>
          </w:p>
        </w:tc>
        <w:tc>
          <w:tcPr>
            <w:tcW w:w="1643" w:type="dxa"/>
            <w:shd w:val="clear" w:color="auto" w:fill="FFFFFF" w:themeFill="background1"/>
            <w:vAlign w:val="center"/>
          </w:tcPr>
          <w:p w14:paraId="3FEE8332">
            <w:pPr>
              <w:widowControl/>
              <w:numPr>
                <w:ilvl w:val="0"/>
                <w:numId w:val="0"/>
              </w:numPr>
              <w:tabs>
                <w:tab w:val="left" w:pos="360"/>
              </w:tabs>
              <w:spacing w:line="240" w:lineRule="auto"/>
              <w:ind w:left="0" w:firstLine="0"/>
              <w:jc w:val="center"/>
              <w:textAlignment w:val="center"/>
              <w:rPr>
                <w:rFonts w:ascii="宋体" w:hAnsi="宋体" w:cs="宋体"/>
                <w:color w:val="FF0000"/>
                <w:kern w:val="0"/>
                <w:sz w:val="21"/>
                <w:szCs w:val="21"/>
              </w:rPr>
            </w:pPr>
            <w:r>
              <w:rPr>
                <w:rFonts w:hint="eastAsia" w:ascii="宋体" w:hAnsi="宋体" w:cs="宋体"/>
                <w:color w:val="000000"/>
                <w:kern w:val="0"/>
                <w:sz w:val="21"/>
                <w:szCs w:val="21"/>
              </w:rPr>
              <w:t>细部</w:t>
            </w:r>
          </w:p>
        </w:tc>
        <w:tc>
          <w:tcPr>
            <w:tcW w:w="5500" w:type="dxa"/>
            <w:shd w:val="clear" w:color="auto" w:fill="FFFFFF" w:themeFill="background1"/>
            <w:vAlign w:val="center"/>
          </w:tcPr>
          <w:p w14:paraId="5FD78F85">
            <w:pPr>
              <w:widowControl/>
              <w:numPr>
                <w:ilvl w:val="0"/>
                <w:numId w:val="0"/>
              </w:numPr>
              <w:tabs>
                <w:tab w:val="left" w:pos="360"/>
              </w:tabs>
              <w:spacing w:line="240" w:lineRule="auto"/>
              <w:ind w:left="0" w:firstLine="0"/>
              <w:jc w:val="left"/>
              <w:textAlignment w:val="center"/>
              <w:rPr>
                <w:rFonts w:ascii="宋体" w:hAnsi="宋体" w:cs="宋体"/>
                <w:color w:val="FF0000"/>
                <w:kern w:val="0"/>
                <w:sz w:val="21"/>
                <w:szCs w:val="21"/>
              </w:rPr>
            </w:pPr>
            <w:r>
              <w:rPr>
                <w:rFonts w:hint="eastAsia" w:ascii="宋体" w:hAnsi="宋体" w:cs="宋体"/>
                <w:color w:val="000000"/>
                <w:kern w:val="0"/>
                <w:sz w:val="21"/>
                <w:szCs w:val="21"/>
              </w:rPr>
              <w:t>窗帘盒、门窗套制作与安装、护栏与扶手制作与安</w:t>
            </w:r>
          </w:p>
        </w:tc>
      </w:tr>
      <w:tr w14:paraId="5018D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7390A01">
            <w:pPr>
              <w:numPr>
                <w:ilvl w:val="0"/>
                <w:numId w:val="1"/>
              </w:numPr>
              <w:tabs>
                <w:tab w:val="left" w:pos="360"/>
              </w:tabs>
              <w:spacing w:line="240" w:lineRule="auto"/>
              <w:ind w:left="0" w:firstLine="0"/>
              <w:jc w:val="center"/>
              <w:rPr>
                <w:rFonts w:ascii="宋体"/>
                <w:sz w:val="21"/>
                <w:szCs w:val="21"/>
              </w:rPr>
            </w:pPr>
          </w:p>
        </w:tc>
        <w:tc>
          <w:tcPr>
            <w:tcW w:w="1227" w:type="dxa"/>
            <w:vMerge w:val="continue"/>
            <w:vAlign w:val="center"/>
          </w:tcPr>
          <w:p w14:paraId="79AA7107">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32C26EC6">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01B6526D">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0DFDC26B">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348EC6DB">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shd w:val="clear" w:color="auto" w:fill="FFFFFF" w:themeFill="background1"/>
            <w:vAlign w:val="center"/>
          </w:tcPr>
          <w:p w14:paraId="15FC317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06</w:t>
            </w:r>
          </w:p>
        </w:tc>
        <w:tc>
          <w:tcPr>
            <w:tcW w:w="1643" w:type="dxa"/>
            <w:shd w:val="clear" w:color="auto" w:fill="FFFFFF" w:themeFill="background1"/>
            <w:vAlign w:val="center"/>
          </w:tcPr>
          <w:p w14:paraId="778198E2">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吊顶</w:t>
            </w:r>
          </w:p>
        </w:tc>
        <w:tc>
          <w:tcPr>
            <w:tcW w:w="5500" w:type="dxa"/>
            <w:shd w:val="clear" w:color="auto" w:fill="FFFFFF" w:themeFill="background1"/>
            <w:vAlign w:val="center"/>
          </w:tcPr>
          <w:p w14:paraId="7F49A02C">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整体面层吊顶、板块面层吊顶、格栅吊顶</w:t>
            </w:r>
          </w:p>
        </w:tc>
      </w:tr>
      <w:tr w14:paraId="7D324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0A30F3CB">
            <w:pPr>
              <w:numPr>
                <w:ilvl w:val="0"/>
                <w:numId w:val="1"/>
              </w:numPr>
              <w:tabs>
                <w:tab w:val="left" w:pos="360"/>
              </w:tabs>
              <w:spacing w:line="240" w:lineRule="auto"/>
              <w:ind w:left="0" w:firstLine="0"/>
              <w:jc w:val="center"/>
              <w:rPr>
                <w:rFonts w:ascii="宋体"/>
                <w:sz w:val="21"/>
                <w:szCs w:val="21"/>
              </w:rPr>
            </w:pPr>
          </w:p>
        </w:tc>
        <w:tc>
          <w:tcPr>
            <w:tcW w:w="1227" w:type="dxa"/>
            <w:vMerge w:val="continue"/>
            <w:vAlign w:val="center"/>
          </w:tcPr>
          <w:p w14:paraId="726C2D5B">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3FFC65DA">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75142040">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04F8F3D2">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6E0A1F0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shd w:val="clear" w:color="auto" w:fill="FFFFFF" w:themeFill="background1"/>
            <w:vAlign w:val="center"/>
          </w:tcPr>
          <w:p w14:paraId="07E3B79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07</w:t>
            </w:r>
          </w:p>
        </w:tc>
        <w:tc>
          <w:tcPr>
            <w:tcW w:w="1643" w:type="dxa"/>
            <w:shd w:val="clear" w:color="auto" w:fill="FFFFFF" w:themeFill="background1"/>
            <w:vAlign w:val="center"/>
          </w:tcPr>
          <w:p w14:paraId="3AEF963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饰面砖</w:t>
            </w:r>
          </w:p>
        </w:tc>
        <w:tc>
          <w:tcPr>
            <w:tcW w:w="5500" w:type="dxa"/>
            <w:shd w:val="clear" w:color="auto" w:fill="FFFFFF" w:themeFill="background1"/>
            <w:vAlign w:val="center"/>
          </w:tcPr>
          <w:p w14:paraId="2284DD7F">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内墙面砖粘贴、外墙面砖粘贴</w:t>
            </w:r>
          </w:p>
        </w:tc>
      </w:tr>
      <w:tr w14:paraId="22A76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3FAEABE">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78FDA6CB">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69FBBA38">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72C16D96">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2A0308CB">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08505D7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shd w:val="clear" w:color="auto" w:fill="FFFFFF" w:themeFill="background1"/>
            <w:vAlign w:val="center"/>
          </w:tcPr>
          <w:p w14:paraId="17DF7C5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08</w:t>
            </w:r>
          </w:p>
        </w:tc>
        <w:tc>
          <w:tcPr>
            <w:tcW w:w="1643" w:type="dxa"/>
            <w:shd w:val="clear" w:color="auto" w:fill="FFFFFF" w:themeFill="background1"/>
            <w:vAlign w:val="center"/>
          </w:tcPr>
          <w:p w14:paraId="201C9CC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幕墙</w:t>
            </w:r>
          </w:p>
        </w:tc>
        <w:tc>
          <w:tcPr>
            <w:tcW w:w="5500" w:type="dxa"/>
            <w:shd w:val="clear" w:color="auto" w:fill="FFFFFF" w:themeFill="background1"/>
            <w:vAlign w:val="center"/>
          </w:tcPr>
          <w:p w14:paraId="5A5055F3">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幕墙工程</w:t>
            </w:r>
          </w:p>
        </w:tc>
      </w:tr>
      <w:tr w14:paraId="4B3CC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tcBorders>
              <w:top w:val="single" w:color="auto" w:sz="4" w:space="0"/>
            </w:tcBorders>
            <w:vAlign w:val="center"/>
          </w:tcPr>
          <w:p w14:paraId="23F2F5BA">
            <w:pPr>
              <w:numPr>
                <w:ilvl w:val="0"/>
                <w:numId w:val="0"/>
              </w:numPr>
              <w:tabs>
                <w:tab w:val="left" w:pos="360"/>
              </w:tabs>
              <w:spacing w:line="240" w:lineRule="auto"/>
              <w:ind w:left="0" w:firstLine="0"/>
              <w:jc w:val="center"/>
              <w:rPr>
                <w:rFonts w:ascii="宋体"/>
                <w:sz w:val="21"/>
                <w:szCs w:val="21"/>
              </w:rPr>
            </w:pPr>
            <w:r>
              <w:rPr>
                <w:rFonts w:ascii="宋体"/>
                <w:sz w:val="21"/>
                <w:szCs w:val="21"/>
              </w:rPr>
              <w:t>02</w:t>
            </w:r>
          </w:p>
        </w:tc>
        <w:tc>
          <w:tcPr>
            <w:tcW w:w="1227" w:type="dxa"/>
            <w:vMerge w:val="restart"/>
            <w:tcBorders>
              <w:top w:val="single" w:color="auto" w:sz="4" w:space="0"/>
            </w:tcBorders>
            <w:vAlign w:val="center"/>
          </w:tcPr>
          <w:p w14:paraId="18AF4C4C">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升压站建筑工程</w:t>
            </w:r>
          </w:p>
        </w:tc>
        <w:tc>
          <w:tcPr>
            <w:tcW w:w="786" w:type="dxa"/>
            <w:vMerge w:val="restart"/>
            <w:tcBorders>
              <w:top w:val="single" w:color="auto" w:sz="4" w:space="0"/>
            </w:tcBorders>
            <w:vAlign w:val="center"/>
          </w:tcPr>
          <w:p w14:paraId="0B282B6D">
            <w:pPr>
              <w:numPr>
                <w:ilvl w:val="0"/>
                <w:numId w:val="0"/>
              </w:numPr>
              <w:tabs>
                <w:tab w:val="left" w:pos="360"/>
              </w:tabs>
              <w:spacing w:line="240" w:lineRule="auto"/>
              <w:ind w:left="0" w:firstLine="0"/>
              <w:jc w:val="center"/>
              <w:rPr>
                <w:rFonts w:ascii="宋体"/>
                <w:sz w:val="21"/>
                <w:szCs w:val="21"/>
              </w:rPr>
            </w:pPr>
            <w:r>
              <w:rPr>
                <w:rFonts w:ascii="宋体"/>
                <w:sz w:val="21"/>
                <w:szCs w:val="21"/>
              </w:rPr>
              <w:t>01</w:t>
            </w:r>
          </w:p>
        </w:tc>
        <w:tc>
          <w:tcPr>
            <w:tcW w:w="1040" w:type="dxa"/>
            <w:vMerge w:val="restart"/>
            <w:tcBorders>
              <w:top w:val="single" w:color="auto" w:sz="4" w:space="0"/>
            </w:tcBorders>
            <w:vAlign w:val="center"/>
          </w:tcPr>
          <w:p w14:paraId="29ED490B">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中控楼和升压站建筑工程</w:t>
            </w:r>
          </w:p>
        </w:tc>
        <w:tc>
          <w:tcPr>
            <w:tcW w:w="706" w:type="dxa"/>
            <w:vMerge w:val="restart"/>
            <w:vAlign w:val="center"/>
          </w:tcPr>
          <w:p w14:paraId="39BB1071">
            <w:pPr>
              <w:numPr>
                <w:ilvl w:val="0"/>
                <w:numId w:val="0"/>
              </w:numPr>
              <w:tabs>
                <w:tab w:val="left" w:pos="360"/>
              </w:tabs>
              <w:spacing w:line="240" w:lineRule="auto"/>
              <w:ind w:left="0" w:firstLine="0"/>
              <w:jc w:val="center"/>
              <w:rPr>
                <w:rFonts w:ascii="宋体"/>
                <w:sz w:val="21"/>
                <w:szCs w:val="21"/>
              </w:rPr>
            </w:pPr>
            <w:r>
              <w:rPr>
                <w:rFonts w:ascii="宋体"/>
                <w:sz w:val="21"/>
                <w:szCs w:val="21"/>
              </w:rPr>
              <w:t>04</w:t>
            </w:r>
          </w:p>
        </w:tc>
        <w:tc>
          <w:tcPr>
            <w:tcW w:w="1830" w:type="dxa"/>
            <w:vMerge w:val="restart"/>
            <w:vAlign w:val="center"/>
          </w:tcPr>
          <w:p w14:paraId="68308722">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建筑屋面</w:t>
            </w:r>
          </w:p>
        </w:tc>
        <w:tc>
          <w:tcPr>
            <w:tcW w:w="706" w:type="dxa"/>
            <w:vAlign w:val="center"/>
          </w:tcPr>
          <w:p w14:paraId="7468CA2E">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01</w:t>
            </w:r>
          </w:p>
        </w:tc>
        <w:tc>
          <w:tcPr>
            <w:tcW w:w="1643" w:type="dxa"/>
            <w:vAlign w:val="center"/>
          </w:tcPr>
          <w:p w14:paraId="0263C0FF">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卷材防水屋面</w:t>
            </w:r>
          </w:p>
        </w:tc>
        <w:tc>
          <w:tcPr>
            <w:tcW w:w="5500" w:type="dxa"/>
            <w:vAlign w:val="center"/>
          </w:tcPr>
          <w:p w14:paraId="65ADB3FF">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保温层、找平层、卷材防水层、细部构造</w:t>
            </w:r>
          </w:p>
        </w:tc>
      </w:tr>
      <w:tr w14:paraId="38D09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Borders>
              <w:top w:val="single" w:color="auto" w:sz="4" w:space="0"/>
            </w:tcBorders>
            <w:vAlign w:val="center"/>
          </w:tcPr>
          <w:p w14:paraId="4870BF1D">
            <w:pPr>
              <w:numPr>
                <w:ilvl w:val="0"/>
                <w:numId w:val="1"/>
              </w:numPr>
              <w:tabs>
                <w:tab w:val="left" w:pos="360"/>
              </w:tabs>
              <w:spacing w:line="240" w:lineRule="auto"/>
              <w:ind w:left="0" w:firstLine="0"/>
              <w:jc w:val="center"/>
              <w:rPr>
                <w:rFonts w:ascii="宋体"/>
                <w:sz w:val="21"/>
                <w:szCs w:val="21"/>
              </w:rPr>
            </w:pPr>
          </w:p>
        </w:tc>
        <w:tc>
          <w:tcPr>
            <w:tcW w:w="1227" w:type="dxa"/>
            <w:vMerge w:val="continue"/>
            <w:tcBorders>
              <w:top w:val="single" w:color="auto" w:sz="4" w:space="0"/>
            </w:tcBorders>
            <w:vAlign w:val="center"/>
          </w:tcPr>
          <w:p w14:paraId="57648413">
            <w:pPr>
              <w:numPr>
                <w:ilvl w:val="0"/>
                <w:numId w:val="1"/>
              </w:numPr>
              <w:tabs>
                <w:tab w:val="left" w:pos="360"/>
              </w:tabs>
              <w:spacing w:line="240" w:lineRule="auto"/>
              <w:ind w:left="0" w:firstLine="0"/>
              <w:jc w:val="center"/>
              <w:rPr>
                <w:rFonts w:ascii="宋体"/>
                <w:sz w:val="21"/>
                <w:szCs w:val="21"/>
              </w:rPr>
            </w:pPr>
          </w:p>
        </w:tc>
        <w:tc>
          <w:tcPr>
            <w:tcW w:w="786" w:type="dxa"/>
            <w:vMerge w:val="continue"/>
            <w:tcBorders>
              <w:top w:val="single" w:color="auto" w:sz="4" w:space="0"/>
            </w:tcBorders>
            <w:vAlign w:val="center"/>
          </w:tcPr>
          <w:p w14:paraId="06BA3D6C">
            <w:pPr>
              <w:numPr>
                <w:ilvl w:val="0"/>
                <w:numId w:val="1"/>
              </w:numPr>
              <w:tabs>
                <w:tab w:val="left" w:pos="360"/>
              </w:tabs>
              <w:spacing w:line="240" w:lineRule="auto"/>
              <w:ind w:left="0" w:firstLine="0"/>
              <w:jc w:val="center"/>
              <w:rPr>
                <w:rFonts w:ascii="宋体"/>
                <w:sz w:val="21"/>
                <w:szCs w:val="21"/>
              </w:rPr>
            </w:pPr>
          </w:p>
        </w:tc>
        <w:tc>
          <w:tcPr>
            <w:tcW w:w="1040" w:type="dxa"/>
            <w:vMerge w:val="continue"/>
            <w:tcBorders>
              <w:top w:val="single" w:color="auto" w:sz="4" w:space="0"/>
            </w:tcBorders>
            <w:vAlign w:val="center"/>
          </w:tcPr>
          <w:p w14:paraId="610D8707">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750943B7">
            <w:pPr>
              <w:numPr>
                <w:ilvl w:val="0"/>
                <w:numId w:val="1"/>
              </w:numPr>
              <w:tabs>
                <w:tab w:val="left" w:pos="360"/>
              </w:tabs>
              <w:ind w:left="0" w:firstLine="0"/>
              <w:jc w:val="center"/>
              <w:rPr>
                <w:rFonts w:ascii="宋体"/>
                <w:sz w:val="21"/>
                <w:szCs w:val="21"/>
              </w:rPr>
            </w:pPr>
          </w:p>
        </w:tc>
        <w:tc>
          <w:tcPr>
            <w:tcW w:w="1830" w:type="dxa"/>
            <w:vMerge w:val="continue"/>
            <w:vAlign w:val="center"/>
          </w:tcPr>
          <w:p w14:paraId="5DD9EFBF">
            <w:pPr>
              <w:numPr>
                <w:ilvl w:val="0"/>
                <w:numId w:val="1"/>
              </w:numPr>
              <w:tabs>
                <w:tab w:val="left" w:pos="360"/>
              </w:tabs>
              <w:ind w:left="0" w:firstLine="0"/>
              <w:jc w:val="center"/>
              <w:textAlignment w:val="center"/>
              <w:rPr>
                <w:rFonts w:ascii="宋体" w:hAnsi="宋体" w:cs="宋体"/>
                <w:color w:val="000000"/>
                <w:kern w:val="0"/>
                <w:sz w:val="21"/>
                <w:szCs w:val="21"/>
              </w:rPr>
            </w:pPr>
          </w:p>
        </w:tc>
        <w:tc>
          <w:tcPr>
            <w:tcW w:w="706" w:type="dxa"/>
            <w:vAlign w:val="center"/>
          </w:tcPr>
          <w:p w14:paraId="5645D03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kern w:val="0"/>
                <w:sz w:val="21"/>
                <w:szCs w:val="21"/>
              </w:rPr>
              <w:t>02</w:t>
            </w:r>
          </w:p>
        </w:tc>
        <w:tc>
          <w:tcPr>
            <w:tcW w:w="1643" w:type="dxa"/>
            <w:vAlign w:val="center"/>
          </w:tcPr>
          <w:p w14:paraId="3952EA7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kern w:val="0"/>
                <w:sz w:val="21"/>
                <w:szCs w:val="21"/>
              </w:rPr>
              <w:t>涂膜防水屋面</w:t>
            </w:r>
          </w:p>
        </w:tc>
        <w:tc>
          <w:tcPr>
            <w:tcW w:w="5500" w:type="dxa"/>
            <w:vAlign w:val="center"/>
          </w:tcPr>
          <w:p w14:paraId="1FAE860E">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kern w:val="0"/>
                <w:sz w:val="21"/>
                <w:szCs w:val="21"/>
              </w:rPr>
              <w:t>保温层、找平层、涂膜防水层、细部构造</w:t>
            </w:r>
          </w:p>
        </w:tc>
      </w:tr>
      <w:tr w14:paraId="02491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Borders>
              <w:top w:val="single" w:color="auto" w:sz="4" w:space="0"/>
            </w:tcBorders>
            <w:vAlign w:val="center"/>
          </w:tcPr>
          <w:p w14:paraId="50DF2A09">
            <w:pPr>
              <w:numPr>
                <w:ilvl w:val="0"/>
                <w:numId w:val="1"/>
              </w:numPr>
              <w:tabs>
                <w:tab w:val="left" w:pos="360"/>
              </w:tabs>
              <w:spacing w:line="240" w:lineRule="auto"/>
              <w:ind w:left="0" w:firstLine="0"/>
              <w:jc w:val="center"/>
              <w:rPr>
                <w:rFonts w:ascii="宋体"/>
                <w:sz w:val="21"/>
                <w:szCs w:val="21"/>
              </w:rPr>
            </w:pPr>
          </w:p>
        </w:tc>
        <w:tc>
          <w:tcPr>
            <w:tcW w:w="1227" w:type="dxa"/>
            <w:vMerge w:val="continue"/>
            <w:tcBorders>
              <w:top w:val="single" w:color="auto" w:sz="4" w:space="0"/>
            </w:tcBorders>
            <w:vAlign w:val="center"/>
          </w:tcPr>
          <w:p w14:paraId="10310CEF">
            <w:pPr>
              <w:numPr>
                <w:ilvl w:val="0"/>
                <w:numId w:val="1"/>
              </w:numPr>
              <w:tabs>
                <w:tab w:val="left" w:pos="360"/>
              </w:tabs>
              <w:spacing w:line="240" w:lineRule="auto"/>
              <w:ind w:left="0" w:firstLine="0"/>
              <w:jc w:val="center"/>
              <w:rPr>
                <w:rFonts w:ascii="宋体"/>
                <w:sz w:val="21"/>
                <w:szCs w:val="21"/>
              </w:rPr>
            </w:pPr>
          </w:p>
        </w:tc>
        <w:tc>
          <w:tcPr>
            <w:tcW w:w="786" w:type="dxa"/>
            <w:vMerge w:val="continue"/>
            <w:tcBorders>
              <w:top w:val="single" w:color="auto" w:sz="4" w:space="0"/>
            </w:tcBorders>
            <w:vAlign w:val="center"/>
          </w:tcPr>
          <w:p w14:paraId="792BEEAB">
            <w:pPr>
              <w:numPr>
                <w:ilvl w:val="0"/>
                <w:numId w:val="1"/>
              </w:numPr>
              <w:tabs>
                <w:tab w:val="left" w:pos="360"/>
              </w:tabs>
              <w:spacing w:line="240" w:lineRule="auto"/>
              <w:ind w:left="0" w:firstLine="0"/>
              <w:jc w:val="center"/>
              <w:rPr>
                <w:rFonts w:ascii="宋体"/>
                <w:sz w:val="21"/>
                <w:szCs w:val="21"/>
              </w:rPr>
            </w:pPr>
          </w:p>
        </w:tc>
        <w:tc>
          <w:tcPr>
            <w:tcW w:w="1040" w:type="dxa"/>
            <w:vMerge w:val="continue"/>
            <w:tcBorders>
              <w:top w:val="single" w:color="auto" w:sz="4" w:space="0"/>
            </w:tcBorders>
            <w:vAlign w:val="center"/>
          </w:tcPr>
          <w:p w14:paraId="7BC282BF">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1CCA73EA">
            <w:pPr>
              <w:numPr>
                <w:ilvl w:val="0"/>
                <w:numId w:val="1"/>
              </w:numPr>
              <w:tabs>
                <w:tab w:val="left" w:pos="360"/>
              </w:tabs>
              <w:ind w:left="0" w:firstLine="0"/>
              <w:jc w:val="center"/>
              <w:rPr>
                <w:rFonts w:ascii="宋体"/>
                <w:sz w:val="21"/>
                <w:szCs w:val="21"/>
              </w:rPr>
            </w:pPr>
          </w:p>
        </w:tc>
        <w:tc>
          <w:tcPr>
            <w:tcW w:w="1830" w:type="dxa"/>
            <w:vMerge w:val="continue"/>
            <w:vAlign w:val="center"/>
          </w:tcPr>
          <w:p w14:paraId="20FE4BEC">
            <w:pPr>
              <w:numPr>
                <w:ilvl w:val="0"/>
                <w:numId w:val="1"/>
              </w:numPr>
              <w:tabs>
                <w:tab w:val="left" w:pos="360"/>
              </w:tabs>
              <w:ind w:left="0" w:firstLine="0"/>
              <w:jc w:val="center"/>
              <w:textAlignment w:val="center"/>
              <w:rPr>
                <w:rFonts w:ascii="宋体" w:hAnsi="宋体" w:cs="宋体"/>
                <w:color w:val="000000"/>
                <w:kern w:val="0"/>
                <w:sz w:val="21"/>
                <w:szCs w:val="21"/>
              </w:rPr>
            </w:pPr>
          </w:p>
        </w:tc>
        <w:tc>
          <w:tcPr>
            <w:tcW w:w="706" w:type="dxa"/>
            <w:vAlign w:val="center"/>
          </w:tcPr>
          <w:p w14:paraId="3797E4C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kern w:val="0"/>
                <w:sz w:val="21"/>
                <w:szCs w:val="21"/>
              </w:rPr>
              <w:t>03</w:t>
            </w:r>
          </w:p>
        </w:tc>
        <w:tc>
          <w:tcPr>
            <w:tcW w:w="1643" w:type="dxa"/>
            <w:vAlign w:val="center"/>
          </w:tcPr>
          <w:p w14:paraId="0307654B">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kern w:val="0"/>
                <w:sz w:val="21"/>
                <w:szCs w:val="21"/>
              </w:rPr>
              <w:t>刚性防水屋面</w:t>
            </w:r>
          </w:p>
        </w:tc>
        <w:tc>
          <w:tcPr>
            <w:tcW w:w="5500" w:type="dxa"/>
            <w:vAlign w:val="center"/>
          </w:tcPr>
          <w:p w14:paraId="2C1C9011">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kern w:val="0"/>
                <w:sz w:val="21"/>
                <w:szCs w:val="21"/>
              </w:rPr>
              <w:t>细石混凝土防水层、密封材料嵌缝、细部构造</w:t>
            </w:r>
          </w:p>
        </w:tc>
      </w:tr>
      <w:tr w14:paraId="10972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Borders>
              <w:top w:val="single" w:color="auto" w:sz="4" w:space="0"/>
            </w:tcBorders>
            <w:vAlign w:val="center"/>
          </w:tcPr>
          <w:p w14:paraId="4ED04D7C">
            <w:pPr>
              <w:numPr>
                <w:ilvl w:val="0"/>
                <w:numId w:val="1"/>
              </w:numPr>
              <w:tabs>
                <w:tab w:val="left" w:pos="360"/>
              </w:tabs>
              <w:spacing w:line="240" w:lineRule="auto"/>
              <w:ind w:left="0" w:firstLine="0"/>
              <w:jc w:val="center"/>
              <w:rPr>
                <w:rFonts w:ascii="宋体"/>
                <w:sz w:val="21"/>
                <w:szCs w:val="21"/>
              </w:rPr>
            </w:pPr>
          </w:p>
        </w:tc>
        <w:tc>
          <w:tcPr>
            <w:tcW w:w="1227" w:type="dxa"/>
            <w:vMerge w:val="continue"/>
            <w:tcBorders>
              <w:top w:val="single" w:color="auto" w:sz="4" w:space="0"/>
            </w:tcBorders>
            <w:vAlign w:val="center"/>
          </w:tcPr>
          <w:p w14:paraId="66CF0293">
            <w:pPr>
              <w:numPr>
                <w:ilvl w:val="0"/>
                <w:numId w:val="1"/>
              </w:numPr>
              <w:tabs>
                <w:tab w:val="left" w:pos="360"/>
              </w:tabs>
              <w:spacing w:line="240" w:lineRule="auto"/>
              <w:ind w:left="0" w:firstLine="0"/>
              <w:jc w:val="center"/>
              <w:rPr>
                <w:rFonts w:ascii="宋体"/>
                <w:sz w:val="21"/>
                <w:szCs w:val="21"/>
              </w:rPr>
            </w:pPr>
          </w:p>
        </w:tc>
        <w:tc>
          <w:tcPr>
            <w:tcW w:w="786" w:type="dxa"/>
            <w:vMerge w:val="continue"/>
            <w:tcBorders>
              <w:top w:val="single" w:color="auto" w:sz="4" w:space="0"/>
            </w:tcBorders>
            <w:vAlign w:val="center"/>
          </w:tcPr>
          <w:p w14:paraId="2B8981BF">
            <w:pPr>
              <w:numPr>
                <w:ilvl w:val="0"/>
                <w:numId w:val="1"/>
              </w:numPr>
              <w:tabs>
                <w:tab w:val="left" w:pos="360"/>
              </w:tabs>
              <w:spacing w:line="240" w:lineRule="auto"/>
              <w:ind w:left="0" w:firstLine="0"/>
              <w:jc w:val="center"/>
              <w:rPr>
                <w:rFonts w:ascii="宋体"/>
                <w:sz w:val="21"/>
                <w:szCs w:val="21"/>
              </w:rPr>
            </w:pPr>
          </w:p>
        </w:tc>
        <w:tc>
          <w:tcPr>
            <w:tcW w:w="1040" w:type="dxa"/>
            <w:vMerge w:val="continue"/>
            <w:tcBorders>
              <w:top w:val="single" w:color="auto" w:sz="4" w:space="0"/>
            </w:tcBorders>
            <w:vAlign w:val="center"/>
          </w:tcPr>
          <w:p w14:paraId="3123882B">
            <w:pPr>
              <w:numPr>
                <w:ilvl w:val="0"/>
                <w:numId w:val="1"/>
              </w:numPr>
              <w:tabs>
                <w:tab w:val="left" w:pos="360"/>
              </w:tabs>
              <w:spacing w:line="240" w:lineRule="auto"/>
              <w:ind w:left="0" w:firstLine="0"/>
              <w:jc w:val="center"/>
              <w:rPr>
                <w:rFonts w:ascii="宋体"/>
                <w:sz w:val="21"/>
                <w:szCs w:val="21"/>
              </w:rPr>
            </w:pPr>
          </w:p>
        </w:tc>
        <w:tc>
          <w:tcPr>
            <w:tcW w:w="706" w:type="dxa"/>
            <w:vMerge w:val="continue"/>
            <w:tcBorders>
              <w:bottom w:val="single" w:color="auto" w:sz="4" w:space="0"/>
            </w:tcBorders>
            <w:vAlign w:val="center"/>
          </w:tcPr>
          <w:p w14:paraId="4F0C6950">
            <w:pPr>
              <w:numPr>
                <w:ilvl w:val="0"/>
                <w:numId w:val="1"/>
              </w:numPr>
              <w:tabs>
                <w:tab w:val="left" w:pos="360"/>
              </w:tabs>
              <w:ind w:left="0" w:firstLine="0"/>
              <w:jc w:val="center"/>
              <w:rPr>
                <w:rFonts w:ascii="宋体"/>
                <w:sz w:val="21"/>
                <w:szCs w:val="21"/>
              </w:rPr>
            </w:pPr>
          </w:p>
        </w:tc>
        <w:tc>
          <w:tcPr>
            <w:tcW w:w="1830" w:type="dxa"/>
            <w:vMerge w:val="continue"/>
            <w:tcBorders>
              <w:bottom w:val="single" w:color="auto" w:sz="4" w:space="0"/>
            </w:tcBorders>
            <w:vAlign w:val="center"/>
          </w:tcPr>
          <w:p w14:paraId="2BAC450D">
            <w:pPr>
              <w:numPr>
                <w:ilvl w:val="0"/>
                <w:numId w:val="1"/>
              </w:numPr>
              <w:tabs>
                <w:tab w:val="left" w:pos="360"/>
              </w:tabs>
              <w:ind w:left="0" w:firstLine="0"/>
              <w:jc w:val="center"/>
              <w:textAlignment w:val="center"/>
              <w:rPr>
                <w:rFonts w:ascii="宋体" w:hAnsi="宋体" w:cs="宋体"/>
                <w:color w:val="000000"/>
                <w:kern w:val="0"/>
                <w:sz w:val="21"/>
                <w:szCs w:val="21"/>
              </w:rPr>
            </w:pPr>
          </w:p>
        </w:tc>
        <w:tc>
          <w:tcPr>
            <w:tcW w:w="706" w:type="dxa"/>
            <w:vAlign w:val="center"/>
          </w:tcPr>
          <w:p w14:paraId="2738450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kern w:val="0"/>
                <w:sz w:val="21"/>
                <w:szCs w:val="21"/>
              </w:rPr>
              <w:t>04</w:t>
            </w:r>
          </w:p>
        </w:tc>
        <w:tc>
          <w:tcPr>
            <w:tcW w:w="1643" w:type="dxa"/>
            <w:vAlign w:val="center"/>
          </w:tcPr>
          <w:p w14:paraId="64C337B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kern w:val="0"/>
                <w:sz w:val="21"/>
                <w:szCs w:val="21"/>
              </w:rPr>
              <w:t>瓦与板屋面</w:t>
            </w:r>
          </w:p>
        </w:tc>
        <w:tc>
          <w:tcPr>
            <w:tcW w:w="5500" w:type="dxa"/>
            <w:vAlign w:val="center"/>
          </w:tcPr>
          <w:p w14:paraId="29B3F4A3">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kern w:val="0"/>
                <w:sz w:val="21"/>
                <w:szCs w:val="21"/>
              </w:rPr>
              <w:t>烧结瓦和混凝土瓦铺设、沥青瓦铺设、金属板铺设、玻璃采光顶铺设</w:t>
            </w:r>
          </w:p>
        </w:tc>
      </w:tr>
      <w:tr w14:paraId="7AD00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Borders>
              <w:top w:val="single" w:color="auto" w:sz="4" w:space="0"/>
            </w:tcBorders>
            <w:vAlign w:val="center"/>
          </w:tcPr>
          <w:p w14:paraId="227031B9">
            <w:pPr>
              <w:numPr>
                <w:ilvl w:val="0"/>
                <w:numId w:val="1"/>
              </w:numPr>
              <w:tabs>
                <w:tab w:val="left" w:pos="360"/>
              </w:tabs>
              <w:spacing w:line="240" w:lineRule="auto"/>
              <w:ind w:left="0" w:firstLine="0"/>
              <w:jc w:val="center"/>
              <w:rPr>
                <w:rFonts w:ascii="宋体"/>
                <w:sz w:val="21"/>
                <w:szCs w:val="21"/>
              </w:rPr>
            </w:pPr>
          </w:p>
        </w:tc>
        <w:tc>
          <w:tcPr>
            <w:tcW w:w="1227" w:type="dxa"/>
            <w:vMerge w:val="continue"/>
            <w:tcBorders>
              <w:top w:val="single" w:color="auto" w:sz="4" w:space="0"/>
            </w:tcBorders>
            <w:vAlign w:val="center"/>
          </w:tcPr>
          <w:p w14:paraId="56381D1A">
            <w:pPr>
              <w:numPr>
                <w:ilvl w:val="0"/>
                <w:numId w:val="1"/>
              </w:numPr>
              <w:tabs>
                <w:tab w:val="left" w:pos="360"/>
              </w:tabs>
              <w:spacing w:line="240" w:lineRule="auto"/>
              <w:ind w:left="0" w:firstLine="0"/>
              <w:jc w:val="center"/>
              <w:rPr>
                <w:rFonts w:ascii="宋体"/>
                <w:sz w:val="21"/>
                <w:szCs w:val="21"/>
              </w:rPr>
            </w:pPr>
          </w:p>
        </w:tc>
        <w:tc>
          <w:tcPr>
            <w:tcW w:w="786" w:type="dxa"/>
            <w:vMerge w:val="continue"/>
            <w:tcBorders>
              <w:top w:val="single" w:color="auto" w:sz="4" w:space="0"/>
            </w:tcBorders>
            <w:vAlign w:val="center"/>
          </w:tcPr>
          <w:p w14:paraId="73F7A1BF">
            <w:pPr>
              <w:numPr>
                <w:ilvl w:val="0"/>
                <w:numId w:val="1"/>
              </w:numPr>
              <w:tabs>
                <w:tab w:val="left" w:pos="360"/>
              </w:tabs>
              <w:spacing w:line="240" w:lineRule="auto"/>
              <w:ind w:left="0" w:firstLine="0"/>
              <w:jc w:val="center"/>
              <w:rPr>
                <w:rFonts w:ascii="宋体"/>
                <w:sz w:val="21"/>
                <w:szCs w:val="21"/>
              </w:rPr>
            </w:pPr>
          </w:p>
        </w:tc>
        <w:tc>
          <w:tcPr>
            <w:tcW w:w="1040" w:type="dxa"/>
            <w:vMerge w:val="continue"/>
            <w:tcBorders>
              <w:top w:val="single" w:color="auto" w:sz="4" w:space="0"/>
            </w:tcBorders>
            <w:vAlign w:val="center"/>
          </w:tcPr>
          <w:p w14:paraId="438ABE3A">
            <w:pPr>
              <w:numPr>
                <w:ilvl w:val="0"/>
                <w:numId w:val="1"/>
              </w:numPr>
              <w:tabs>
                <w:tab w:val="left" w:pos="360"/>
              </w:tabs>
              <w:spacing w:line="240" w:lineRule="auto"/>
              <w:ind w:left="0" w:firstLine="0"/>
              <w:jc w:val="center"/>
              <w:rPr>
                <w:rFonts w:ascii="宋体"/>
                <w:sz w:val="21"/>
                <w:szCs w:val="21"/>
              </w:rPr>
            </w:pPr>
          </w:p>
        </w:tc>
        <w:tc>
          <w:tcPr>
            <w:tcW w:w="706" w:type="dxa"/>
            <w:vMerge w:val="restart"/>
            <w:tcBorders>
              <w:top w:val="single" w:color="auto" w:sz="4" w:space="0"/>
            </w:tcBorders>
            <w:vAlign w:val="center"/>
          </w:tcPr>
          <w:p w14:paraId="3795665A">
            <w:pPr>
              <w:numPr>
                <w:ilvl w:val="0"/>
                <w:numId w:val="0"/>
              </w:numPr>
              <w:tabs>
                <w:tab w:val="left" w:pos="360"/>
              </w:tabs>
              <w:ind w:left="0" w:firstLine="0"/>
              <w:jc w:val="center"/>
              <w:rPr>
                <w:rFonts w:ascii="宋体"/>
                <w:sz w:val="21"/>
                <w:szCs w:val="21"/>
              </w:rPr>
            </w:pPr>
            <w:r>
              <w:rPr>
                <w:rFonts w:ascii="宋体"/>
                <w:sz w:val="21"/>
                <w:szCs w:val="21"/>
              </w:rPr>
              <w:t>05</w:t>
            </w:r>
          </w:p>
        </w:tc>
        <w:tc>
          <w:tcPr>
            <w:tcW w:w="1830" w:type="dxa"/>
            <w:vMerge w:val="restart"/>
            <w:tcBorders>
              <w:top w:val="single" w:color="auto" w:sz="4" w:space="0"/>
            </w:tcBorders>
            <w:vAlign w:val="center"/>
          </w:tcPr>
          <w:p w14:paraId="40D04319">
            <w:pPr>
              <w:numPr>
                <w:ilvl w:val="0"/>
                <w:numId w:val="0"/>
              </w:numPr>
              <w:tabs>
                <w:tab w:val="left" w:pos="360"/>
              </w:tabs>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室内外给排水</w:t>
            </w:r>
          </w:p>
        </w:tc>
        <w:tc>
          <w:tcPr>
            <w:tcW w:w="706" w:type="dxa"/>
            <w:vAlign w:val="center"/>
          </w:tcPr>
          <w:p w14:paraId="532586C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1643" w:type="dxa"/>
            <w:vAlign w:val="center"/>
          </w:tcPr>
          <w:p w14:paraId="33523016">
            <w:pPr>
              <w:widowControl/>
              <w:numPr>
                <w:ilvl w:val="0"/>
                <w:numId w:val="0"/>
              </w:numPr>
              <w:tabs>
                <w:tab w:val="left" w:pos="360"/>
              </w:tabs>
              <w:spacing w:line="240" w:lineRule="auto"/>
              <w:ind w:left="0" w:firstLine="0"/>
              <w:jc w:val="center"/>
              <w:textAlignment w:val="center"/>
              <w:rPr>
                <w:rFonts w:ascii="宋体" w:hAnsi="宋体" w:cs="宋体"/>
                <w:color w:val="FF0000"/>
                <w:kern w:val="0"/>
                <w:sz w:val="21"/>
                <w:szCs w:val="21"/>
              </w:rPr>
            </w:pPr>
            <w:r>
              <w:rPr>
                <w:rFonts w:hint="eastAsia" w:ascii="宋体" w:hAnsi="宋体" w:cs="宋体"/>
                <w:color w:val="000000"/>
                <w:kern w:val="0"/>
                <w:sz w:val="21"/>
                <w:szCs w:val="21"/>
              </w:rPr>
              <w:t>室内给排水系统</w:t>
            </w:r>
          </w:p>
        </w:tc>
        <w:tc>
          <w:tcPr>
            <w:tcW w:w="5500" w:type="dxa"/>
            <w:vAlign w:val="center"/>
          </w:tcPr>
          <w:p w14:paraId="5ABA474C">
            <w:pPr>
              <w:widowControl/>
              <w:numPr>
                <w:ilvl w:val="0"/>
                <w:numId w:val="0"/>
              </w:numPr>
              <w:tabs>
                <w:tab w:val="left" w:pos="360"/>
              </w:tabs>
              <w:spacing w:line="240" w:lineRule="auto"/>
              <w:ind w:left="0" w:firstLine="0"/>
              <w:jc w:val="left"/>
              <w:textAlignment w:val="center"/>
              <w:rPr>
                <w:rFonts w:ascii="宋体" w:hAnsi="宋体" w:cs="宋体"/>
                <w:color w:val="FF0000"/>
                <w:kern w:val="0"/>
                <w:sz w:val="21"/>
                <w:szCs w:val="21"/>
              </w:rPr>
            </w:pPr>
            <w:r>
              <w:rPr>
                <w:rFonts w:hint="eastAsia" w:ascii="宋体" w:hAnsi="宋体" w:cs="宋体"/>
                <w:color w:val="000000"/>
                <w:kern w:val="0"/>
                <w:sz w:val="21"/>
                <w:szCs w:val="21"/>
              </w:rPr>
              <w:t>给水管道及配件安装、排水管道及配件安装、供热管道及配件安装、雨水管道及配件安装、室内消火栓系统安装、给水设备安装、管道防腐与隔热保温、室内采暖管道及配件安装</w:t>
            </w:r>
          </w:p>
        </w:tc>
      </w:tr>
      <w:tr w14:paraId="5F50C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Borders>
              <w:top w:val="single" w:color="auto" w:sz="4" w:space="0"/>
            </w:tcBorders>
            <w:vAlign w:val="center"/>
          </w:tcPr>
          <w:p w14:paraId="63D410D9">
            <w:pPr>
              <w:numPr>
                <w:ilvl w:val="0"/>
                <w:numId w:val="1"/>
              </w:numPr>
              <w:tabs>
                <w:tab w:val="left" w:pos="360"/>
              </w:tabs>
              <w:spacing w:line="240" w:lineRule="auto"/>
              <w:ind w:left="0" w:firstLine="0"/>
              <w:jc w:val="center"/>
              <w:rPr>
                <w:rFonts w:ascii="宋体"/>
                <w:sz w:val="21"/>
                <w:szCs w:val="21"/>
              </w:rPr>
            </w:pPr>
          </w:p>
        </w:tc>
        <w:tc>
          <w:tcPr>
            <w:tcW w:w="1227" w:type="dxa"/>
            <w:vMerge w:val="continue"/>
            <w:tcBorders>
              <w:top w:val="single" w:color="auto" w:sz="4" w:space="0"/>
            </w:tcBorders>
            <w:vAlign w:val="center"/>
          </w:tcPr>
          <w:p w14:paraId="42D27C4C">
            <w:pPr>
              <w:numPr>
                <w:ilvl w:val="0"/>
                <w:numId w:val="1"/>
              </w:numPr>
              <w:tabs>
                <w:tab w:val="left" w:pos="360"/>
              </w:tabs>
              <w:spacing w:line="240" w:lineRule="auto"/>
              <w:ind w:left="0" w:firstLine="0"/>
              <w:jc w:val="center"/>
              <w:rPr>
                <w:rFonts w:ascii="宋体"/>
                <w:sz w:val="21"/>
                <w:szCs w:val="21"/>
              </w:rPr>
            </w:pPr>
          </w:p>
        </w:tc>
        <w:tc>
          <w:tcPr>
            <w:tcW w:w="786" w:type="dxa"/>
            <w:vMerge w:val="continue"/>
            <w:tcBorders>
              <w:top w:val="single" w:color="auto" w:sz="4" w:space="0"/>
            </w:tcBorders>
            <w:vAlign w:val="center"/>
          </w:tcPr>
          <w:p w14:paraId="2C1956B6">
            <w:pPr>
              <w:numPr>
                <w:ilvl w:val="0"/>
                <w:numId w:val="1"/>
              </w:numPr>
              <w:tabs>
                <w:tab w:val="left" w:pos="360"/>
              </w:tabs>
              <w:spacing w:line="240" w:lineRule="auto"/>
              <w:ind w:left="0" w:firstLine="0"/>
              <w:jc w:val="center"/>
              <w:rPr>
                <w:rFonts w:ascii="宋体"/>
                <w:sz w:val="21"/>
                <w:szCs w:val="21"/>
              </w:rPr>
            </w:pPr>
          </w:p>
        </w:tc>
        <w:tc>
          <w:tcPr>
            <w:tcW w:w="1040" w:type="dxa"/>
            <w:vMerge w:val="continue"/>
            <w:tcBorders>
              <w:top w:val="single" w:color="auto" w:sz="4" w:space="0"/>
            </w:tcBorders>
            <w:vAlign w:val="center"/>
          </w:tcPr>
          <w:p w14:paraId="2E65C89A">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3AA9B95A">
            <w:pPr>
              <w:numPr>
                <w:ilvl w:val="0"/>
                <w:numId w:val="1"/>
              </w:numPr>
              <w:tabs>
                <w:tab w:val="left" w:pos="360"/>
              </w:tabs>
              <w:ind w:left="0" w:firstLine="0"/>
              <w:jc w:val="center"/>
              <w:rPr>
                <w:rFonts w:ascii="宋体"/>
                <w:sz w:val="21"/>
                <w:szCs w:val="21"/>
              </w:rPr>
            </w:pPr>
          </w:p>
        </w:tc>
        <w:tc>
          <w:tcPr>
            <w:tcW w:w="1830" w:type="dxa"/>
            <w:vMerge w:val="continue"/>
            <w:vAlign w:val="center"/>
          </w:tcPr>
          <w:p w14:paraId="3582AA8A">
            <w:pPr>
              <w:numPr>
                <w:ilvl w:val="0"/>
                <w:numId w:val="1"/>
              </w:numPr>
              <w:tabs>
                <w:tab w:val="left" w:pos="360"/>
              </w:tabs>
              <w:ind w:left="0" w:firstLine="0"/>
              <w:jc w:val="center"/>
              <w:textAlignment w:val="center"/>
              <w:rPr>
                <w:rFonts w:ascii="宋体" w:hAnsi="宋体" w:cs="宋体"/>
                <w:color w:val="000000"/>
                <w:kern w:val="0"/>
                <w:sz w:val="21"/>
                <w:szCs w:val="21"/>
              </w:rPr>
            </w:pPr>
          </w:p>
        </w:tc>
        <w:tc>
          <w:tcPr>
            <w:tcW w:w="706" w:type="dxa"/>
            <w:vAlign w:val="center"/>
          </w:tcPr>
          <w:p w14:paraId="6F84D91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1643" w:type="dxa"/>
            <w:vAlign w:val="center"/>
          </w:tcPr>
          <w:p w14:paraId="4D38913D">
            <w:pPr>
              <w:widowControl/>
              <w:numPr>
                <w:ilvl w:val="0"/>
                <w:numId w:val="0"/>
              </w:numPr>
              <w:tabs>
                <w:tab w:val="left" w:pos="360"/>
              </w:tabs>
              <w:spacing w:line="240" w:lineRule="auto"/>
              <w:ind w:left="0" w:firstLine="0"/>
              <w:jc w:val="center"/>
              <w:textAlignment w:val="center"/>
              <w:rPr>
                <w:rFonts w:ascii="宋体" w:hAnsi="宋体" w:cs="宋体"/>
                <w:color w:val="FF0000"/>
                <w:kern w:val="0"/>
                <w:sz w:val="21"/>
                <w:szCs w:val="21"/>
              </w:rPr>
            </w:pPr>
            <w:r>
              <w:rPr>
                <w:rFonts w:hint="eastAsia" w:ascii="宋体" w:hAnsi="宋体" w:cs="宋体"/>
                <w:color w:val="000000"/>
                <w:kern w:val="0"/>
                <w:sz w:val="21"/>
                <w:szCs w:val="21"/>
              </w:rPr>
              <w:t>卫生器具安装</w:t>
            </w:r>
          </w:p>
        </w:tc>
        <w:tc>
          <w:tcPr>
            <w:tcW w:w="5500" w:type="dxa"/>
            <w:vAlign w:val="center"/>
          </w:tcPr>
          <w:p w14:paraId="4DFD3EB7">
            <w:pPr>
              <w:widowControl/>
              <w:numPr>
                <w:ilvl w:val="0"/>
                <w:numId w:val="0"/>
              </w:numPr>
              <w:tabs>
                <w:tab w:val="left" w:pos="360"/>
              </w:tabs>
              <w:spacing w:line="240" w:lineRule="auto"/>
              <w:ind w:left="0" w:firstLine="0"/>
              <w:jc w:val="left"/>
              <w:textAlignment w:val="center"/>
              <w:rPr>
                <w:rFonts w:ascii="宋体" w:hAnsi="宋体" w:cs="宋体"/>
                <w:color w:val="FF0000"/>
                <w:kern w:val="0"/>
                <w:sz w:val="21"/>
                <w:szCs w:val="21"/>
              </w:rPr>
            </w:pPr>
            <w:r>
              <w:rPr>
                <w:rFonts w:hint="eastAsia" w:ascii="宋体" w:hAnsi="宋体" w:cs="宋体"/>
                <w:color w:val="000000"/>
                <w:kern w:val="0"/>
                <w:sz w:val="21"/>
                <w:szCs w:val="21"/>
              </w:rPr>
              <w:t>卫生器具安装、卫生器具给水配件安装、卫生器具排水管道安装</w:t>
            </w:r>
          </w:p>
        </w:tc>
      </w:tr>
      <w:tr w14:paraId="5BA52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Borders>
              <w:top w:val="single" w:color="auto" w:sz="4" w:space="0"/>
            </w:tcBorders>
            <w:vAlign w:val="center"/>
          </w:tcPr>
          <w:p w14:paraId="3CC7FBD0">
            <w:pPr>
              <w:numPr>
                <w:ilvl w:val="0"/>
                <w:numId w:val="1"/>
              </w:numPr>
              <w:tabs>
                <w:tab w:val="left" w:pos="360"/>
              </w:tabs>
              <w:spacing w:line="240" w:lineRule="auto"/>
              <w:ind w:left="0" w:firstLine="0"/>
              <w:jc w:val="center"/>
              <w:rPr>
                <w:rFonts w:ascii="宋体"/>
                <w:sz w:val="21"/>
                <w:szCs w:val="21"/>
              </w:rPr>
            </w:pPr>
          </w:p>
        </w:tc>
        <w:tc>
          <w:tcPr>
            <w:tcW w:w="1227" w:type="dxa"/>
            <w:vMerge w:val="continue"/>
            <w:tcBorders>
              <w:top w:val="single" w:color="auto" w:sz="4" w:space="0"/>
            </w:tcBorders>
            <w:vAlign w:val="center"/>
          </w:tcPr>
          <w:p w14:paraId="7F6FAC55">
            <w:pPr>
              <w:numPr>
                <w:ilvl w:val="0"/>
                <w:numId w:val="1"/>
              </w:numPr>
              <w:tabs>
                <w:tab w:val="left" w:pos="360"/>
              </w:tabs>
              <w:spacing w:line="240" w:lineRule="auto"/>
              <w:ind w:left="0" w:firstLine="0"/>
              <w:jc w:val="center"/>
              <w:rPr>
                <w:rFonts w:ascii="宋体"/>
                <w:sz w:val="21"/>
                <w:szCs w:val="21"/>
              </w:rPr>
            </w:pPr>
          </w:p>
        </w:tc>
        <w:tc>
          <w:tcPr>
            <w:tcW w:w="786" w:type="dxa"/>
            <w:vMerge w:val="continue"/>
            <w:tcBorders>
              <w:top w:val="single" w:color="auto" w:sz="4" w:space="0"/>
            </w:tcBorders>
            <w:vAlign w:val="center"/>
          </w:tcPr>
          <w:p w14:paraId="612FD515">
            <w:pPr>
              <w:numPr>
                <w:ilvl w:val="0"/>
                <w:numId w:val="1"/>
              </w:numPr>
              <w:tabs>
                <w:tab w:val="left" w:pos="360"/>
              </w:tabs>
              <w:spacing w:line="240" w:lineRule="auto"/>
              <w:ind w:left="0" w:firstLine="0"/>
              <w:jc w:val="center"/>
              <w:rPr>
                <w:rFonts w:ascii="宋体"/>
                <w:sz w:val="21"/>
                <w:szCs w:val="21"/>
              </w:rPr>
            </w:pPr>
          </w:p>
        </w:tc>
        <w:tc>
          <w:tcPr>
            <w:tcW w:w="1040" w:type="dxa"/>
            <w:vMerge w:val="continue"/>
            <w:tcBorders>
              <w:top w:val="single" w:color="auto" w:sz="4" w:space="0"/>
            </w:tcBorders>
            <w:vAlign w:val="center"/>
          </w:tcPr>
          <w:p w14:paraId="09E1F250">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43F72E70">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357C31EC">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4FE9AF9B">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03</w:t>
            </w:r>
          </w:p>
        </w:tc>
        <w:tc>
          <w:tcPr>
            <w:tcW w:w="1643" w:type="dxa"/>
            <w:vAlign w:val="center"/>
          </w:tcPr>
          <w:p w14:paraId="4110D89D">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室外给排水管网</w:t>
            </w:r>
          </w:p>
        </w:tc>
        <w:tc>
          <w:tcPr>
            <w:tcW w:w="5500" w:type="dxa"/>
            <w:vAlign w:val="center"/>
          </w:tcPr>
          <w:p w14:paraId="645ABC08">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给水管道及配件安装、排水管道及配件安装、供热管道及配件安装、雨水管道及配件安装、室外消火栓系统安装、给水设备安装、管道防腐与隔热保温、室外采暖管道及配件安装</w:t>
            </w:r>
          </w:p>
        </w:tc>
      </w:tr>
      <w:tr w14:paraId="535D7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06000E2">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6E019391">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32C796A9">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215EA876">
            <w:pPr>
              <w:numPr>
                <w:ilvl w:val="0"/>
                <w:numId w:val="0"/>
              </w:numPr>
              <w:tabs>
                <w:tab w:val="left" w:pos="360"/>
              </w:tabs>
              <w:spacing w:line="240" w:lineRule="auto"/>
              <w:ind w:left="0" w:firstLine="0"/>
              <w:jc w:val="center"/>
              <w:rPr>
                <w:rFonts w:ascii="宋体"/>
                <w:sz w:val="21"/>
                <w:szCs w:val="21"/>
              </w:rPr>
            </w:pPr>
          </w:p>
        </w:tc>
        <w:tc>
          <w:tcPr>
            <w:tcW w:w="706" w:type="dxa"/>
            <w:vMerge w:val="restart"/>
            <w:vAlign w:val="center"/>
          </w:tcPr>
          <w:p w14:paraId="23B8B170">
            <w:pPr>
              <w:numPr>
                <w:ilvl w:val="0"/>
                <w:numId w:val="0"/>
              </w:numPr>
              <w:tabs>
                <w:tab w:val="left" w:pos="360"/>
              </w:tabs>
              <w:ind w:left="0" w:firstLine="0"/>
              <w:jc w:val="center"/>
              <w:rPr>
                <w:rFonts w:ascii="宋体"/>
                <w:sz w:val="21"/>
                <w:szCs w:val="21"/>
              </w:rPr>
            </w:pPr>
            <w:r>
              <w:rPr>
                <w:rFonts w:ascii="宋体"/>
                <w:sz w:val="21"/>
                <w:szCs w:val="21"/>
              </w:rPr>
              <w:t>06</w:t>
            </w:r>
          </w:p>
        </w:tc>
        <w:tc>
          <w:tcPr>
            <w:tcW w:w="1830" w:type="dxa"/>
            <w:vMerge w:val="restart"/>
            <w:vAlign w:val="center"/>
          </w:tcPr>
          <w:p w14:paraId="788732D8">
            <w:pPr>
              <w:numPr>
                <w:ilvl w:val="0"/>
                <w:numId w:val="0"/>
              </w:numPr>
              <w:tabs>
                <w:tab w:val="left" w:pos="360"/>
              </w:tabs>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建筑电气</w:t>
            </w:r>
          </w:p>
        </w:tc>
        <w:tc>
          <w:tcPr>
            <w:tcW w:w="706" w:type="dxa"/>
            <w:vAlign w:val="center"/>
          </w:tcPr>
          <w:p w14:paraId="6A77980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1643" w:type="dxa"/>
            <w:vAlign w:val="center"/>
          </w:tcPr>
          <w:p w14:paraId="2166C89B">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供电干线与电气动力</w:t>
            </w:r>
          </w:p>
        </w:tc>
        <w:tc>
          <w:tcPr>
            <w:tcW w:w="5500" w:type="dxa"/>
            <w:vAlign w:val="center"/>
          </w:tcPr>
          <w:p w14:paraId="142ED097">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成套配电柜、照明配电箱、电线电缆穿线、插座开关安装</w:t>
            </w:r>
          </w:p>
        </w:tc>
      </w:tr>
      <w:tr w14:paraId="4571F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4B988A64">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0E9CD32E">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37AD7BD8">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2D8444A8">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01BC6C14">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04A9056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56B3558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1643" w:type="dxa"/>
            <w:vAlign w:val="center"/>
          </w:tcPr>
          <w:p w14:paraId="16BCCCC6">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电气照明安装</w:t>
            </w:r>
          </w:p>
        </w:tc>
        <w:tc>
          <w:tcPr>
            <w:tcW w:w="5500" w:type="dxa"/>
            <w:vAlign w:val="center"/>
          </w:tcPr>
          <w:p w14:paraId="3923A95C">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照明配电箱安装、专用灯具安装、普通灯具安装、插座开关安装、建筑照明通电试运行</w:t>
            </w:r>
          </w:p>
        </w:tc>
      </w:tr>
      <w:tr w14:paraId="232AF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4417489">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5FCBFD4D">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296C42E1">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7BF4685F">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14C972B2">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220A8BD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67337152">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03</w:t>
            </w:r>
          </w:p>
        </w:tc>
        <w:tc>
          <w:tcPr>
            <w:tcW w:w="1643" w:type="dxa"/>
            <w:vAlign w:val="center"/>
          </w:tcPr>
          <w:p w14:paraId="6780FB5E">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备用和不间断电源安装</w:t>
            </w:r>
          </w:p>
        </w:tc>
        <w:tc>
          <w:tcPr>
            <w:tcW w:w="5500" w:type="dxa"/>
            <w:vAlign w:val="center"/>
          </w:tcPr>
          <w:p w14:paraId="2ACB0B5F">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成套配电柜、照明配电箱安装、电缆电线安装、电气试验、接地装置施工</w:t>
            </w:r>
          </w:p>
        </w:tc>
      </w:tr>
      <w:tr w14:paraId="11540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0140442E">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77D636BC">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5A01D87A">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0135AEF4">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40D663A2">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16040C3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3778FD6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04</w:t>
            </w:r>
          </w:p>
        </w:tc>
        <w:tc>
          <w:tcPr>
            <w:tcW w:w="1643" w:type="dxa"/>
            <w:vAlign w:val="center"/>
          </w:tcPr>
          <w:p w14:paraId="4CD47761">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防雷及接地安装</w:t>
            </w:r>
          </w:p>
        </w:tc>
        <w:tc>
          <w:tcPr>
            <w:tcW w:w="5500" w:type="dxa"/>
            <w:vAlign w:val="center"/>
          </w:tcPr>
          <w:p w14:paraId="4D1AB9B8">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接地装置安装、避雷引下线和变配电室接地干线敷设</w:t>
            </w:r>
          </w:p>
        </w:tc>
      </w:tr>
      <w:tr w14:paraId="58ABC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1D2E413">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685824C2">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377ED452">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47B644AF">
            <w:pPr>
              <w:numPr>
                <w:ilvl w:val="0"/>
                <w:numId w:val="0"/>
              </w:numPr>
              <w:tabs>
                <w:tab w:val="left" w:pos="360"/>
              </w:tabs>
              <w:spacing w:line="240" w:lineRule="auto"/>
              <w:ind w:left="0" w:firstLine="0"/>
              <w:jc w:val="center"/>
              <w:rPr>
                <w:rFonts w:ascii="宋体"/>
                <w:sz w:val="21"/>
                <w:szCs w:val="21"/>
              </w:rPr>
            </w:pPr>
          </w:p>
        </w:tc>
        <w:tc>
          <w:tcPr>
            <w:tcW w:w="706" w:type="dxa"/>
            <w:vMerge w:val="restart"/>
            <w:vAlign w:val="center"/>
          </w:tcPr>
          <w:p w14:paraId="2895F56A">
            <w:pPr>
              <w:numPr>
                <w:ilvl w:val="0"/>
                <w:numId w:val="0"/>
              </w:numPr>
              <w:tabs>
                <w:tab w:val="left" w:pos="360"/>
              </w:tabs>
              <w:spacing w:line="240" w:lineRule="auto"/>
              <w:ind w:left="0" w:firstLine="0"/>
              <w:jc w:val="center"/>
              <w:rPr>
                <w:rFonts w:ascii="宋体"/>
                <w:sz w:val="21"/>
                <w:szCs w:val="21"/>
              </w:rPr>
            </w:pPr>
            <w:r>
              <w:rPr>
                <w:rFonts w:ascii="宋体"/>
                <w:sz w:val="21"/>
                <w:szCs w:val="21"/>
              </w:rPr>
              <w:t>07</w:t>
            </w:r>
          </w:p>
        </w:tc>
        <w:tc>
          <w:tcPr>
            <w:tcW w:w="1830" w:type="dxa"/>
            <w:vMerge w:val="restart"/>
            <w:vAlign w:val="center"/>
          </w:tcPr>
          <w:p w14:paraId="4A5694CB">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智能建筑</w:t>
            </w:r>
          </w:p>
        </w:tc>
        <w:tc>
          <w:tcPr>
            <w:tcW w:w="706" w:type="dxa"/>
            <w:vAlign w:val="center"/>
          </w:tcPr>
          <w:p w14:paraId="33626FA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1643" w:type="dxa"/>
            <w:vAlign w:val="center"/>
          </w:tcPr>
          <w:p w14:paraId="0A53E379">
            <w:pPr>
              <w:widowControl/>
              <w:numPr>
                <w:ilvl w:val="0"/>
                <w:numId w:val="0"/>
              </w:numPr>
              <w:tabs>
                <w:tab w:val="left" w:pos="360"/>
              </w:tabs>
              <w:spacing w:line="240" w:lineRule="auto"/>
              <w:ind w:left="0" w:firstLine="0"/>
              <w:textAlignment w:val="center"/>
              <w:rPr>
                <w:rFonts w:ascii="宋体" w:hAnsi="宋体" w:cs="宋体"/>
                <w:kern w:val="0"/>
                <w:sz w:val="21"/>
                <w:szCs w:val="21"/>
              </w:rPr>
            </w:pPr>
            <w:r>
              <w:rPr>
                <w:rFonts w:hint="eastAsia" w:ascii="宋体" w:hAnsi="宋体" w:cs="宋体"/>
                <w:kern w:val="0"/>
                <w:sz w:val="21"/>
                <w:szCs w:val="21"/>
              </w:rPr>
              <w:t>智能化集成系统</w:t>
            </w:r>
          </w:p>
        </w:tc>
        <w:tc>
          <w:tcPr>
            <w:tcW w:w="5500" w:type="dxa"/>
            <w:vAlign w:val="center"/>
          </w:tcPr>
          <w:p w14:paraId="587AD74F">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设备及软件安装、系统调试运行</w:t>
            </w:r>
          </w:p>
        </w:tc>
      </w:tr>
      <w:tr w14:paraId="043A6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8BB4C2A">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57A0B2B9">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570A10B7">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429CEF3E">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2E3A2612">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1A600A0F">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2DFD37D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1643" w:type="dxa"/>
            <w:vAlign w:val="center"/>
          </w:tcPr>
          <w:p w14:paraId="1EECF7DB">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信息接入系统</w:t>
            </w:r>
          </w:p>
        </w:tc>
        <w:tc>
          <w:tcPr>
            <w:tcW w:w="5500" w:type="dxa"/>
            <w:vAlign w:val="center"/>
          </w:tcPr>
          <w:p w14:paraId="6CDCC286">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线缆敷设、设备及软件安装、系统调试运行、</w:t>
            </w:r>
          </w:p>
        </w:tc>
      </w:tr>
      <w:tr w14:paraId="2C36D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6753381">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654374CD">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70C77DBC">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0B2EDDB5">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64A116AD">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7FC24ABB">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28F2168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03</w:t>
            </w:r>
          </w:p>
        </w:tc>
        <w:tc>
          <w:tcPr>
            <w:tcW w:w="1643" w:type="dxa"/>
            <w:vAlign w:val="center"/>
          </w:tcPr>
          <w:p w14:paraId="4A888202">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电话及交换系统</w:t>
            </w:r>
          </w:p>
        </w:tc>
        <w:tc>
          <w:tcPr>
            <w:tcW w:w="5500" w:type="dxa"/>
            <w:vAlign w:val="center"/>
          </w:tcPr>
          <w:p w14:paraId="514E081B">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线缆敷设、设备及软件安装、系统调试运行、</w:t>
            </w:r>
          </w:p>
        </w:tc>
      </w:tr>
      <w:tr w14:paraId="61AD6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6C152843">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4306F469">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400628C2">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000C7517">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475DB615">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32EEF72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34E139F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04</w:t>
            </w:r>
          </w:p>
        </w:tc>
        <w:tc>
          <w:tcPr>
            <w:tcW w:w="1643" w:type="dxa"/>
            <w:vAlign w:val="center"/>
          </w:tcPr>
          <w:p w14:paraId="00CEED1B">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建筑设备监控系统</w:t>
            </w:r>
          </w:p>
        </w:tc>
        <w:tc>
          <w:tcPr>
            <w:tcW w:w="5500" w:type="dxa"/>
            <w:vAlign w:val="center"/>
          </w:tcPr>
          <w:p w14:paraId="3D9091C3">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线缆敷设、设备及软件安装、系统调试运行</w:t>
            </w:r>
          </w:p>
        </w:tc>
      </w:tr>
      <w:tr w14:paraId="223D0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vAlign w:val="center"/>
          </w:tcPr>
          <w:p w14:paraId="5645AF34">
            <w:pPr>
              <w:numPr>
                <w:ilvl w:val="0"/>
                <w:numId w:val="0"/>
              </w:numPr>
              <w:tabs>
                <w:tab w:val="left" w:pos="360"/>
              </w:tabs>
              <w:ind w:left="0" w:firstLine="0"/>
              <w:jc w:val="center"/>
              <w:rPr>
                <w:rFonts w:ascii="宋体"/>
                <w:sz w:val="21"/>
                <w:szCs w:val="21"/>
              </w:rPr>
            </w:pPr>
            <w:r>
              <w:rPr>
                <w:rFonts w:ascii="宋体"/>
                <w:sz w:val="21"/>
                <w:szCs w:val="21"/>
              </w:rPr>
              <w:t>02</w:t>
            </w:r>
          </w:p>
        </w:tc>
        <w:tc>
          <w:tcPr>
            <w:tcW w:w="1227" w:type="dxa"/>
            <w:vMerge w:val="restart"/>
            <w:vAlign w:val="center"/>
          </w:tcPr>
          <w:p w14:paraId="5042B539">
            <w:pPr>
              <w:numPr>
                <w:ilvl w:val="0"/>
                <w:numId w:val="0"/>
              </w:numPr>
              <w:tabs>
                <w:tab w:val="left" w:pos="360"/>
              </w:tabs>
              <w:ind w:left="0" w:firstLine="0"/>
              <w:jc w:val="center"/>
              <w:rPr>
                <w:rFonts w:ascii="宋体"/>
                <w:sz w:val="21"/>
                <w:szCs w:val="21"/>
              </w:rPr>
            </w:pPr>
            <w:r>
              <w:rPr>
                <w:rFonts w:hint="eastAsia" w:ascii="宋体"/>
                <w:sz w:val="21"/>
                <w:szCs w:val="21"/>
              </w:rPr>
              <w:t>升压站建筑工程</w:t>
            </w:r>
          </w:p>
        </w:tc>
        <w:tc>
          <w:tcPr>
            <w:tcW w:w="786" w:type="dxa"/>
            <w:vMerge w:val="restart"/>
            <w:vAlign w:val="center"/>
          </w:tcPr>
          <w:p w14:paraId="01302AD4">
            <w:pPr>
              <w:numPr>
                <w:ilvl w:val="0"/>
                <w:numId w:val="0"/>
              </w:numPr>
              <w:tabs>
                <w:tab w:val="left" w:pos="360"/>
              </w:tabs>
              <w:ind w:left="0" w:firstLine="0"/>
              <w:jc w:val="center"/>
              <w:rPr>
                <w:rFonts w:ascii="宋体"/>
                <w:sz w:val="21"/>
                <w:szCs w:val="21"/>
              </w:rPr>
            </w:pPr>
            <w:r>
              <w:rPr>
                <w:rFonts w:ascii="宋体"/>
                <w:sz w:val="21"/>
                <w:szCs w:val="21"/>
              </w:rPr>
              <w:t>01</w:t>
            </w:r>
          </w:p>
        </w:tc>
        <w:tc>
          <w:tcPr>
            <w:tcW w:w="1040" w:type="dxa"/>
            <w:vMerge w:val="restart"/>
            <w:vAlign w:val="center"/>
          </w:tcPr>
          <w:p w14:paraId="3AE56186">
            <w:pPr>
              <w:numPr>
                <w:ilvl w:val="0"/>
                <w:numId w:val="0"/>
              </w:numPr>
              <w:tabs>
                <w:tab w:val="left" w:pos="360"/>
              </w:tabs>
              <w:ind w:left="0" w:firstLine="0"/>
              <w:jc w:val="center"/>
              <w:rPr>
                <w:rFonts w:ascii="宋体"/>
                <w:sz w:val="21"/>
                <w:szCs w:val="21"/>
              </w:rPr>
            </w:pPr>
            <w:r>
              <w:rPr>
                <w:rFonts w:hint="eastAsia" w:ascii="宋体"/>
                <w:sz w:val="21"/>
                <w:szCs w:val="21"/>
              </w:rPr>
              <w:t>中控楼和升压站建筑工程</w:t>
            </w:r>
          </w:p>
        </w:tc>
        <w:tc>
          <w:tcPr>
            <w:tcW w:w="706" w:type="dxa"/>
            <w:vMerge w:val="restart"/>
            <w:vAlign w:val="center"/>
          </w:tcPr>
          <w:p w14:paraId="143FB3FD">
            <w:pPr>
              <w:numPr>
                <w:ilvl w:val="0"/>
                <w:numId w:val="0"/>
              </w:numPr>
              <w:tabs>
                <w:tab w:val="left" w:pos="360"/>
              </w:tabs>
              <w:spacing w:line="240" w:lineRule="auto"/>
              <w:ind w:left="0" w:firstLine="0"/>
              <w:jc w:val="center"/>
              <w:rPr>
                <w:rFonts w:ascii="宋体"/>
                <w:sz w:val="21"/>
                <w:szCs w:val="21"/>
              </w:rPr>
            </w:pPr>
            <w:r>
              <w:rPr>
                <w:rFonts w:ascii="宋体"/>
                <w:sz w:val="21"/>
                <w:szCs w:val="21"/>
              </w:rPr>
              <w:t>07</w:t>
            </w:r>
          </w:p>
        </w:tc>
        <w:tc>
          <w:tcPr>
            <w:tcW w:w="1830" w:type="dxa"/>
            <w:vMerge w:val="restart"/>
            <w:vAlign w:val="center"/>
          </w:tcPr>
          <w:p w14:paraId="59AE325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智能建筑</w:t>
            </w:r>
          </w:p>
        </w:tc>
        <w:tc>
          <w:tcPr>
            <w:tcW w:w="706" w:type="dxa"/>
            <w:vAlign w:val="center"/>
          </w:tcPr>
          <w:p w14:paraId="4E2368E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05</w:t>
            </w:r>
          </w:p>
        </w:tc>
        <w:tc>
          <w:tcPr>
            <w:tcW w:w="1643" w:type="dxa"/>
            <w:vAlign w:val="center"/>
          </w:tcPr>
          <w:p w14:paraId="06C4A9FE">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火灾自动报警及消防联动系统工程</w:t>
            </w:r>
          </w:p>
        </w:tc>
        <w:tc>
          <w:tcPr>
            <w:tcW w:w="5500" w:type="dxa"/>
            <w:vAlign w:val="center"/>
          </w:tcPr>
          <w:p w14:paraId="5EA5C2DF">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线缆敷设及附件安装、设备及软件安装、系统调试运行</w:t>
            </w:r>
          </w:p>
        </w:tc>
      </w:tr>
      <w:tr w14:paraId="5A24A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49C7F4E6">
            <w:pPr>
              <w:numPr>
                <w:ilvl w:val="0"/>
                <w:numId w:val="1"/>
              </w:numPr>
              <w:tabs>
                <w:tab w:val="left" w:pos="360"/>
              </w:tabs>
              <w:ind w:left="0" w:firstLine="0"/>
              <w:jc w:val="center"/>
              <w:rPr>
                <w:rFonts w:ascii="宋体"/>
                <w:sz w:val="21"/>
                <w:szCs w:val="21"/>
              </w:rPr>
            </w:pPr>
          </w:p>
        </w:tc>
        <w:tc>
          <w:tcPr>
            <w:tcW w:w="1227" w:type="dxa"/>
            <w:vMerge w:val="continue"/>
            <w:vAlign w:val="center"/>
          </w:tcPr>
          <w:p w14:paraId="257912EB">
            <w:pPr>
              <w:numPr>
                <w:ilvl w:val="0"/>
                <w:numId w:val="1"/>
              </w:numPr>
              <w:tabs>
                <w:tab w:val="left" w:pos="360"/>
              </w:tabs>
              <w:ind w:left="0" w:firstLine="0"/>
              <w:jc w:val="center"/>
              <w:rPr>
                <w:rFonts w:ascii="宋体"/>
                <w:sz w:val="21"/>
                <w:szCs w:val="21"/>
              </w:rPr>
            </w:pPr>
          </w:p>
        </w:tc>
        <w:tc>
          <w:tcPr>
            <w:tcW w:w="786" w:type="dxa"/>
            <w:vMerge w:val="continue"/>
            <w:vAlign w:val="center"/>
          </w:tcPr>
          <w:p w14:paraId="4ACB22E7">
            <w:pPr>
              <w:numPr>
                <w:ilvl w:val="0"/>
                <w:numId w:val="0"/>
              </w:numPr>
              <w:tabs>
                <w:tab w:val="left" w:pos="360"/>
              </w:tabs>
              <w:ind w:left="0" w:firstLine="0"/>
              <w:jc w:val="center"/>
              <w:rPr>
                <w:rFonts w:ascii="宋体"/>
                <w:sz w:val="21"/>
                <w:szCs w:val="21"/>
              </w:rPr>
            </w:pPr>
          </w:p>
        </w:tc>
        <w:tc>
          <w:tcPr>
            <w:tcW w:w="1040" w:type="dxa"/>
            <w:vMerge w:val="continue"/>
            <w:vAlign w:val="center"/>
          </w:tcPr>
          <w:p w14:paraId="35E1F93A">
            <w:pPr>
              <w:numPr>
                <w:ilvl w:val="0"/>
                <w:numId w:val="1"/>
              </w:numPr>
              <w:tabs>
                <w:tab w:val="left" w:pos="360"/>
              </w:tabs>
              <w:ind w:left="0" w:firstLine="0"/>
              <w:jc w:val="center"/>
              <w:rPr>
                <w:rFonts w:ascii="宋体"/>
                <w:sz w:val="21"/>
                <w:szCs w:val="21"/>
              </w:rPr>
            </w:pPr>
          </w:p>
        </w:tc>
        <w:tc>
          <w:tcPr>
            <w:tcW w:w="706" w:type="dxa"/>
            <w:vMerge w:val="continue"/>
            <w:vAlign w:val="center"/>
          </w:tcPr>
          <w:p w14:paraId="085C9698">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6DF4700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6992E7E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06</w:t>
            </w:r>
          </w:p>
        </w:tc>
        <w:tc>
          <w:tcPr>
            <w:tcW w:w="1643" w:type="dxa"/>
            <w:vAlign w:val="center"/>
          </w:tcPr>
          <w:p w14:paraId="428D3C1B">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安全技术防范系统</w:t>
            </w:r>
          </w:p>
        </w:tc>
        <w:tc>
          <w:tcPr>
            <w:tcW w:w="5500" w:type="dxa"/>
            <w:vAlign w:val="center"/>
          </w:tcPr>
          <w:p w14:paraId="27E23393">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线缆敷设、设备及软件安装、系统调试运行</w:t>
            </w:r>
          </w:p>
        </w:tc>
      </w:tr>
      <w:tr w14:paraId="49A25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BF48CE8">
            <w:pPr>
              <w:numPr>
                <w:ilvl w:val="0"/>
                <w:numId w:val="1"/>
              </w:numPr>
              <w:tabs>
                <w:tab w:val="left" w:pos="360"/>
              </w:tabs>
              <w:ind w:left="0" w:firstLine="0"/>
              <w:jc w:val="center"/>
              <w:rPr>
                <w:rFonts w:ascii="宋体"/>
                <w:sz w:val="21"/>
                <w:szCs w:val="21"/>
              </w:rPr>
            </w:pPr>
          </w:p>
        </w:tc>
        <w:tc>
          <w:tcPr>
            <w:tcW w:w="1227" w:type="dxa"/>
            <w:vMerge w:val="continue"/>
            <w:vAlign w:val="center"/>
          </w:tcPr>
          <w:p w14:paraId="474BDE68">
            <w:pPr>
              <w:numPr>
                <w:ilvl w:val="0"/>
                <w:numId w:val="1"/>
              </w:numPr>
              <w:tabs>
                <w:tab w:val="left" w:pos="360"/>
              </w:tabs>
              <w:ind w:left="0" w:firstLine="0"/>
              <w:jc w:val="center"/>
              <w:rPr>
                <w:rFonts w:ascii="宋体"/>
                <w:sz w:val="21"/>
                <w:szCs w:val="21"/>
              </w:rPr>
            </w:pPr>
          </w:p>
        </w:tc>
        <w:tc>
          <w:tcPr>
            <w:tcW w:w="786" w:type="dxa"/>
            <w:vMerge w:val="continue"/>
            <w:vAlign w:val="center"/>
          </w:tcPr>
          <w:p w14:paraId="69BF4F3C">
            <w:pPr>
              <w:numPr>
                <w:ilvl w:val="0"/>
                <w:numId w:val="1"/>
              </w:numPr>
              <w:tabs>
                <w:tab w:val="left" w:pos="360"/>
              </w:tabs>
              <w:ind w:left="0" w:firstLine="0"/>
              <w:jc w:val="center"/>
              <w:rPr>
                <w:rFonts w:ascii="宋体"/>
                <w:sz w:val="21"/>
                <w:szCs w:val="21"/>
              </w:rPr>
            </w:pPr>
          </w:p>
        </w:tc>
        <w:tc>
          <w:tcPr>
            <w:tcW w:w="1040" w:type="dxa"/>
            <w:vMerge w:val="continue"/>
            <w:vAlign w:val="center"/>
          </w:tcPr>
          <w:p w14:paraId="3186A469">
            <w:pPr>
              <w:numPr>
                <w:ilvl w:val="0"/>
                <w:numId w:val="1"/>
              </w:numPr>
              <w:tabs>
                <w:tab w:val="left" w:pos="360"/>
              </w:tabs>
              <w:ind w:left="0" w:firstLine="0"/>
              <w:jc w:val="center"/>
              <w:rPr>
                <w:rFonts w:ascii="宋体"/>
                <w:sz w:val="21"/>
                <w:szCs w:val="21"/>
              </w:rPr>
            </w:pPr>
          </w:p>
        </w:tc>
        <w:tc>
          <w:tcPr>
            <w:tcW w:w="706" w:type="dxa"/>
            <w:vMerge w:val="continue"/>
            <w:vAlign w:val="center"/>
          </w:tcPr>
          <w:p w14:paraId="2997E476">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0F573CD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409D1E7B">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07</w:t>
            </w:r>
          </w:p>
        </w:tc>
        <w:tc>
          <w:tcPr>
            <w:tcW w:w="1643" w:type="dxa"/>
            <w:vAlign w:val="center"/>
          </w:tcPr>
          <w:p w14:paraId="67289263">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防雷与接地</w:t>
            </w:r>
          </w:p>
        </w:tc>
        <w:tc>
          <w:tcPr>
            <w:tcW w:w="5500" w:type="dxa"/>
            <w:vAlign w:val="center"/>
          </w:tcPr>
          <w:p w14:paraId="61EFEE84">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接地装置施工、等电位连接及浪涌保护器安装、系统测试</w:t>
            </w:r>
          </w:p>
        </w:tc>
      </w:tr>
      <w:tr w14:paraId="33C05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F6CF76C">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003AFD72">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3E867723">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7053FFEF">
            <w:pPr>
              <w:numPr>
                <w:ilvl w:val="0"/>
                <w:numId w:val="0"/>
              </w:numPr>
              <w:tabs>
                <w:tab w:val="left" w:pos="360"/>
              </w:tabs>
              <w:spacing w:line="240" w:lineRule="auto"/>
              <w:ind w:left="0" w:firstLine="0"/>
              <w:jc w:val="center"/>
              <w:rPr>
                <w:rFonts w:ascii="宋体"/>
                <w:sz w:val="21"/>
                <w:szCs w:val="21"/>
              </w:rPr>
            </w:pPr>
          </w:p>
        </w:tc>
        <w:tc>
          <w:tcPr>
            <w:tcW w:w="706" w:type="dxa"/>
            <w:vMerge w:val="restart"/>
            <w:vAlign w:val="center"/>
          </w:tcPr>
          <w:p w14:paraId="3E5F32F8">
            <w:pPr>
              <w:numPr>
                <w:ilvl w:val="0"/>
                <w:numId w:val="0"/>
              </w:numPr>
              <w:tabs>
                <w:tab w:val="left" w:pos="360"/>
              </w:tabs>
              <w:spacing w:line="240" w:lineRule="auto"/>
              <w:ind w:left="0" w:firstLine="0"/>
              <w:jc w:val="center"/>
              <w:rPr>
                <w:rFonts w:ascii="宋体"/>
                <w:sz w:val="21"/>
                <w:szCs w:val="21"/>
              </w:rPr>
            </w:pPr>
            <w:r>
              <w:rPr>
                <w:rFonts w:ascii="宋体"/>
                <w:sz w:val="21"/>
                <w:szCs w:val="21"/>
              </w:rPr>
              <w:t>08</w:t>
            </w:r>
          </w:p>
        </w:tc>
        <w:tc>
          <w:tcPr>
            <w:tcW w:w="1830" w:type="dxa"/>
            <w:vMerge w:val="restart"/>
            <w:vAlign w:val="center"/>
          </w:tcPr>
          <w:p w14:paraId="22C5FF3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通风空调</w:t>
            </w:r>
          </w:p>
        </w:tc>
        <w:tc>
          <w:tcPr>
            <w:tcW w:w="706" w:type="dxa"/>
            <w:vAlign w:val="center"/>
          </w:tcPr>
          <w:p w14:paraId="772E0AA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1643" w:type="dxa"/>
            <w:vAlign w:val="center"/>
          </w:tcPr>
          <w:p w14:paraId="52C4464E">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送排风系统</w:t>
            </w:r>
          </w:p>
        </w:tc>
        <w:tc>
          <w:tcPr>
            <w:tcW w:w="5500" w:type="dxa"/>
            <w:vAlign w:val="center"/>
          </w:tcPr>
          <w:p w14:paraId="10032717">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风管与配件制作、部件制作、风机安装、风管系统安装、空气处理设备安装、消声设备制作与安装、风管与设备防腐绝热、系统调试</w:t>
            </w:r>
          </w:p>
        </w:tc>
      </w:tr>
      <w:tr w14:paraId="2D5EF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6CC2E441">
            <w:pPr>
              <w:numPr>
                <w:ilvl w:val="0"/>
                <w:numId w:val="1"/>
              </w:numPr>
              <w:tabs>
                <w:tab w:val="left" w:pos="360"/>
              </w:tabs>
              <w:spacing w:line="240" w:lineRule="auto"/>
              <w:ind w:left="0" w:firstLine="0"/>
              <w:jc w:val="center"/>
              <w:rPr>
                <w:rFonts w:ascii="宋体"/>
                <w:sz w:val="21"/>
                <w:szCs w:val="21"/>
              </w:rPr>
            </w:pPr>
          </w:p>
        </w:tc>
        <w:tc>
          <w:tcPr>
            <w:tcW w:w="1227" w:type="dxa"/>
            <w:vMerge w:val="continue"/>
            <w:vAlign w:val="center"/>
          </w:tcPr>
          <w:p w14:paraId="7D0DC59A">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76CE9301">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2FC4301D">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08C0E307">
            <w:pPr>
              <w:numPr>
                <w:ilvl w:val="0"/>
                <w:numId w:val="1"/>
              </w:numPr>
              <w:tabs>
                <w:tab w:val="left" w:pos="360"/>
              </w:tabs>
              <w:spacing w:line="240" w:lineRule="auto"/>
              <w:ind w:left="0" w:firstLine="0"/>
              <w:jc w:val="center"/>
              <w:rPr>
                <w:rFonts w:ascii="宋体"/>
                <w:sz w:val="21"/>
                <w:szCs w:val="21"/>
              </w:rPr>
            </w:pPr>
          </w:p>
        </w:tc>
        <w:tc>
          <w:tcPr>
            <w:tcW w:w="1830" w:type="dxa"/>
            <w:vMerge w:val="continue"/>
            <w:vAlign w:val="center"/>
          </w:tcPr>
          <w:p w14:paraId="58353C8D">
            <w:pPr>
              <w:widowControl/>
              <w:numPr>
                <w:ilvl w:val="0"/>
                <w:numId w:val="1"/>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6638321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1643" w:type="dxa"/>
            <w:vAlign w:val="center"/>
          </w:tcPr>
          <w:p w14:paraId="49ECB6BD">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防排烟系统</w:t>
            </w:r>
          </w:p>
        </w:tc>
        <w:tc>
          <w:tcPr>
            <w:tcW w:w="5500" w:type="dxa"/>
            <w:vAlign w:val="center"/>
          </w:tcPr>
          <w:p w14:paraId="1B3AF468">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风管与配件制作、部件制作、风机安装、风管系统安装、防排烟风口、常闭正压风口与设备安装、风管与设备防腐绝热、系统调试</w:t>
            </w:r>
          </w:p>
        </w:tc>
      </w:tr>
      <w:tr w14:paraId="39D50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8776504">
            <w:pPr>
              <w:numPr>
                <w:ilvl w:val="0"/>
                <w:numId w:val="1"/>
              </w:numPr>
              <w:tabs>
                <w:tab w:val="left" w:pos="360"/>
              </w:tabs>
              <w:spacing w:line="240" w:lineRule="auto"/>
              <w:ind w:left="0" w:firstLine="0"/>
              <w:jc w:val="center"/>
              <w:rPr>
                <w:rFonts w:ascii="宋体"/>
                <w:sz w:val="21"/>
                <w:szCs w:val="21"/>
              </w:rPr>
            </w:pPr>
          </w:p>
        </w:tc>
        <w:tc>
          <w:tcPr>
            <w:tcW w:w="1227" w:type="dxa"/>
            <w:vMerge w:val="continue"/>
            <w:vAlign w:val="center"/>
          </w:tcPr>
          <w:p w14:paraId="41FADD3A">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4B449FE4">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1FEF80BE">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7DC70827">
            <w:pPr>
              <w:numPr>
                <w:ilvl w:val="0"/>
                <w:numId w:val="1"/>
              </w:numPr>
              <w:tabs>
                <w:tab w:val="left" w:pos="360"/>
              </w:tabs>
              <w:spacing w:line="240" w:lineRule="auto"/>
              <w:ind w:left="0" w:firstLine="0"/>
              <w:jc w:val="center"/>
              <w:rPr>
                <w:rFonts w:ascii="宋体"/>
                <w:sz w:val="21"/>
                <w:szCs w:val="21"/>
              </w:rPr>
            </w:pPr>
          </w:p>
        </w:tc>
        <w:tc>
          <w:tcPr>
            <w:tcW w:w="1830" w:type="dxa"/>
            <w:vMerge w:val="continue"/>
            <w:vAlign w:val="center"/>
          </w:tcPr>
          <w:p w14:paraId="38B5BE9B">
            <w:pPr>
              <w:widowControl/>
              <w:numPr>
                <w:ilvl w:val="0"/>
                <w:numId w:val="1"/>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7DFD4BFB">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03</w:t>
            </w:r>
          </w:p>
        </w:tc>
        <w:tc>
          <w:tcPr>
            <w:tcW w:w="1643" w:type="dxa"/>
            <w:vAlign w:val="center"/>
          </w:tcPr>
          <w:p w14:paraId="49977608">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color w:val="000000"/>
                <w:kern w:val="0"/>
                <w:sz w:val="21"/>
                <w:szCs w:val="21"/>
              </w:rPr>
              <w:t>除尘系统</w:t>
            </w:r>
          </w:p>
        </w:tc>
        <w:tc>
          <w:tcPr>
            <w:tcW w:w="5500" w:type="dxa"/>
            <w:vAlign w:val="center"/>
          </w:tcPr>
          <w:p w14:paraId="44EEA953">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风管与配件制作、部件制作、风机安装、风管系统安装、除尘器与排污设备安装、风管与设备防腐绝热、系统调试</w:t>
            </w:r>
          </w:p>
        </w:tc>
      </w:tr>
      <w:tr w14:paraId="675F2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4AC25BD">
            <w:pPr>
              <w:numPr>
                <w:ilvl w:val="0"/>
                <w:numId w:val="1"/>
              </w:numPr>
              <w:tabs>
                <w:tab w:val="left" w:pos="360"/>
              </w:tabs>
              <w:spacing w:line="240" w:lineRule="auto"/>
              <w:ind w:left="0" w:firstLine="0"/>
              <w:jc w:val="center"/>
              <w:rPr>
                <w:rFonts w:ascii="宋体"/>
                <w:sz w:val="21"/>
                <w:szCs w:val="21"/>
              </w:rPr>
            </w:pPr>
          </w:p>
        </w:tc>
        <w:tc>
          <w:tcPr>
            <w:tcW w:w="1227" w:type="dxa"/>
            <w:vMerge w:val="continue"/>
            <w:vAlign w:val="center"/>
          </w:tcPr>
          <w:p w14:paraId="32F9574D">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3DF4A9B9">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77DBD5A1">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27EB5541">
            <w:pPr>
              <w:numPr>
                <w:ilvl w:val="0"/>
                <w:numId w:val="1"/>
              </w:numPr>
              <w:tabs>
                <w:tab w:val="left" w:pos="360"/>
              </w:tabs>
              <w:spacing w:line="240" w:lineRule="auto"/>
              <w:ind w:left="0" w:firstLine="0"/>
              <w:jc w:val="center"/>
              <w:rPr>
                <w:rFonts w:ascii="宋体"/>
                <w:sz w:val="21"/>
                <w:szCs w:val="21"/>
              </w:rPr>
            </w:pPr>
          </w:p>
        </w:tc>
        <w:tc>
          <w:tcPr>
            <w:tcW w:w="1830" w:type="dxa"/>
            <w:vMerge w:val="continue"/>
            <w:vAlign w:val="center"/>
          </w:tcPr>
          <w:p w14:paraId="0CC46881">
            <w:pPr>
              <w:widowControl/>
              <w:numPr>
                <w:ilvl w:val="0"/>
                <w:numId w:val="1"/>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2051CB23">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04</w:t>
            </w:r>
          </w:p>
        </w:tc>
        <w:tc>
          <w:tcPr>
            <w:tcW w:w="1643" w:type="dxa"/>
            <w:vAlign w:val="center"/>
          </w:tcPr>
          <w:p w14:paraId="49B0793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空调风系统</w:t>
            </w:r>
          </w:p>
        </w:tc>
        <w:tc>
          <w:tcPr>
            <w:tcW w:w="5500" w:type="dxa"/>
            <w:vAlign w:val="center"/>
          </w:tcPr>
          <w:p w14:paraId="01576FF0">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风管与配件制作、部件制作、风机安装、风管系统安装、空气处理设备安装、消声设备制作与安装、风管与设备防腐绝热、系统调试</w:t>
            </w:r>
          </w:p>
        </w:tc>
      </w:tr>
      <w:tr w14:paraId="7858C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2BA72813">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0C92E773">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4D96BA25">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267955CC">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16DE1733">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0968C62C">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6D48677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05</w:t>
            </w:r>
          </w:p>
        </w:tc>
        <w:tc>
          <w:tcPr>
            <w:tcW w:w="1643" w:type="dxa"/>
            <w:vAlign w:val="center"/>
          </w:tcPr>
          <w:p w14:paraId="70CD0EF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净化空调系统</w:t>
            </w:r>
          </w:p>
        </w:tc>
        <w:tc>
          <w:tcPr>
            <w:tcW w:w="5500" w:type="dxa"/>
            <w:vAlign w:val="center"/>
          </w:tcPr>
          <w:p w14:paraId="0F8706A3">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风管与配件制作、部件制作、风机安装、风管系统安装、空气处理设备安装、消声设备制作与安装、高效过滤器安装、风管与设备防腐绝热、系统调试</w:t>
            </w:r>
          </w:p>
        </w:tc>
      </w:tr>
      <w:tr w14:paraId="023BE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1596121">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35E4F503">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73417A4E">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2A1DA84F">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5AA737AC">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1F66F1D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094E15B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06</w:t>
            </w:r>
          </w:p>
        </w:tc>
        <w:tc>
          <w:tcPr>
            <w:tcW w:w="1643" w:type="dxa"/>
            <w:vAlign w:val="center"/>
          </w:tcPr>
          <w:p w14:paraId="4AB9870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制冷设备系统</w:t>
            </w:r>
          </w:p>
        </w:tc>
        <w:tc>
          <w:tcPr>
            <w:tcW w:w="5500" w:type="dxa"/>
            <w:vAlign w:val="center"/>
          </w:tcPr>
          <w:p w14:paraId="40016B12">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制冷组安装、制冷剂管道安装、制冷附属设备安装、管道及设备的防腐与绝热、系统调试</w:t>
            </w:r>
          </w:p>
        </w:tc>
      </w:tr>
      <w:tr w14:paraId="26ED7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4FC586FC">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4D57AF9B">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51F772A0">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66296509">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7948FF95">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58270BF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26EC8B3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07</w:t>
            </w:r>
          </w:p>
        </w:tc>
        <w:tc>
          <w:tcPr>
            <w:tcW w:w="1643" w:type="dxa"/>
            <w:vAlign w:val="center"/>
          </w:tcPr>
          <w:p w14:paraId="085703F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空调水系统</w:t>
            </w:r>
          </w:p>
        </w:tc>
        <w:tc>
          <w:tcPr>
            <w:tcW w:w="5500" w:type="dxa"/>
            <w:vAlign w:val="center"/>
          </w:tcPr>
          <w:p w14:paraId="33A5BDBF">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管道冷热水系统安装、冷却水系统安装、冷凝水系统安装、阀门安装、冷却塔安装、水泵安装、管道与设备防腐与绝热、系统调试</w:t>
            </w:r>
          </w:p>
        </w:tc>
      </w:tr>
      <w:tr w14:paraId="3A1CC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296FF19F">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026C1FAA">
            <w:pPr>
              <w:numPr>
                <w:ilvl w:val="0"/>
                <w:numId w:val="0"/>
              </w:numPr>
              <w:tabs>
                <w:tab w:val="left" w:pos="360"/>
              </w:tabs>
              <w:spacing w:line="240" w:lineRule="auto"/>
              <w:ind w:left="0" w:firstLine="0"/>
              <w:jc w:val="center"/>
              <w:rPr>
                <w:rFonts w:ascii="宋体"/>
                <w:sz w:val="21"/>
                <w:szCs w:val="21"/>
              </w:rPr>
            </w:pPr>
          </w:p>
        </w:tc>
        <w:tc>
          <w:tcPr>
            <w:tcW w:w="786" w:type="dxa"/>
            <w:vMerge w:val="restart"/>
            <w:vAlign w:val="center"/>
          </w:tcPr>
          <w:p w14:paraId="6DF027BE">
            <w:pPr>
              <w:numPr>
                <w:ilvl w:val="0"/>
                <w:numId w:val="0"/>
              </w:numPr>
              <w:tabs>
                <w:tab w:val="left" w:pos="360"/>
              </w:tabs>
              <w:spacing w:line="240" w:lineRule="auto"/>
              <w:ind w:left="0" w:firstLine="0"/>
              <w:jc w:val="center"/>
              <w:rPr>
                <w:rFonts w:ascii="宋体"/>
                <w:sz w:val="21"/>
                <w:szCs w:val="21"/>
              </w:rPr>
            </w:pPr>
            <w:r>
              <w:rPr>
                <w:rFonts w:ascii="宋体"/>
                <w:sz w:val="21"/>
                <w:szCs w:val="21"/>
              </w:rPr>
              <w:t>02</w:t>
            </w:r>
          </w:p>
        </w:tc>
        <w:tc>
          <w:tcPr>
            <w:tcW w:w="1040" w:type="dxa"/>
            <w:vMerge w:val="restart"/>
            <w:vAlign w:val="center"/>
          </w:tcPr>
          <w:p w14:paraId="356BB0F6">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室外</w:t>
            </w:r>
          </w:p>
          <w:p w14:paraId="34BFE4E5">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工程</w:t>
            </w:r>
          </w:p>
        </w:tc>
        <w:tc>
          <w:tcPr>
            <w:tcW w:w="706" w:type="dxa"/>
            <w:vMerge w:val="restart"/>
            <w:vAlign w:val="center"/>
          </w:tcPr>
          <w:p w14:paraId="6F3ABD1A">
            <w:pPr>
              <w:numPr>
                <w:ilvl w:val="0"/>
                <w:numId w:val="0"/>
              </w:numPr>
              <w:tabs>
                <w:tab w:val="left" w:pos="360"/>
              </w:tabs>
              <w:spacing w:line="240" w:lineRule="auto"/>
              <w:ind w:left="0" w:firstLine="0"/>
              <w:jc w:val="center"/>
              <w:rPr>
                <w:rFonts w:ascii="宋体"/>
                <w:sz w:val="21"/>
                <w:szCs w:val="21"/>
              </w:rPr>
            </w:pPr>
            <w:r>
              <w:rPr>
                <w:rFonts w:ascii="宋体"/>
                <w:sz w:val="21"/>
                <w:szCs w:val="21"/>
              </w:rPr>
              <w:t>01</w:t>
            </w:r>
          </w:p>
        </w:tc>
        <w:tc>
          <w:tcPr>
            <w:tcW w:w="1830" w:type="dxa"/>
            <w:vMerge w:val="restart"/>
            <w:vAlign w:val="center"/>
          </w:tcPr>
          <w:p w14:paraId="7590893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附属设施</w:t>
            </w:r>
          </w:p>
        </w:tc>
        <w:tc>
          <w:tcPr>
            <w:tcW w:w="706" w:type="dxa"/>
            <w:vAlign w:val="center"/>
          </w:tcPr>
          <w:p w14:paraId="3B5E65FD">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1643" w:type="dxa"/>
            <w:vAlign w:val="center"/>
          </w:tcPr>
          <w:p w14:paraId="7AB28D5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道路</w:t>
            </w:r>
          </w:p>
        </w:tc>
        <w:tc>
          <w:tcPr>
            <w:tcW w:w="5500" w:type="dxa"/>
            <w:vAlign w:val="center"/>
          </w:tcPr>
          <w:p w14:paraId="0760B6AB">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路基、基层、混凝土路面、沥青路面、人行道路面、路沿石</w:t>
            </w:r>
          </w:p>
        </w:tc>
      </w:tr>
      <w:tr w14:paraId="41135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65A589AF">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0658FA71">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34F96521">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01A60784">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0A84D30E">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67A8CE8D">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45C3D343">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1643" w:type="dxa"/>
            <w:vAlign w:val="center"/>
          </w:tcPr>
          <w:p w14:paraId="347096F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围墙</w:t>
            </w:r>
          </w:p>
        </w:tc>
        <w:tc>
          <w:tcPr>
            <w:tcW w:w="5500" w:type="dxa"/>
            <w:vAlign w:val="center"/>
          </w:tcPr>
          <w:p w14:paraId="449F3109">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混凝土基础、砌体基础、砖砌墙体、一般抹灰、涂饰、围栅</w:t>
            </w:r>
          </w:p>
        </w:tc>
      </w:tr>
      <w:tr w14:paraId="53D0F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03C356D">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1D5720E6">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5DD09179">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3406C35E">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6712F483">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07B3DD5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340CE4C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03</w:t>
            </w:r>
          </w:p>
        </w:tc>
        <w:tc>
          <w:tcPr>
            <w:tcW w:w="1643" w:type="dxa"/>
            <w:vAlign w:val="center"/>
          </w:tcPr>
          <w:p w14:paraId="6BDD691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大门</w:t>
            </w:r>
          </w:p>
        </w:tc>
        <w:tc>
          <w:tcPr>
            <w:tcW w:w="5500" w:type="dxa"/>
            <w:vAlign w:val="center"/>
          </w:tcPr>
          <w:p w14:paraId="2F844906">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混凝土基础、砖基础、混凝土门库、砖砌门库、门柱</w:t>
            </w:r>
          </w:p>
        </w:tc>
      </w:tr>
      <w:tr w14:paraId="06069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7D089CB">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7043B0C1">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3122D84F">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7DB3A410">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48E1D5BE">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22608CB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61560D9F">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04</w:t>
            </w:r>
          </w:p>
        </w:tc>
        <w:tc>
          <w:tcPr>
            <w:tcW w:w="1643" w:type="dxa"/>
            <w:vAlign w:val="center"/>
          </w:tcPr>
          <w:p w14:paraId="31A36C3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排水沟</w:t>
            </w:r>
          </w:p>
        </w:tc>
        <w:tc>
          <w:tcPr>
            <w:tcW w:w="5500" w:type="dxa"/>
            <w:vAlign w:val="center"/>
          </w:tcPr>
          <w:p w14:paraId="632B52B2">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排水沟</w:t>
            </w:r>
          </w:p>
        </w:tc>
      </w:tr>
      <w:tr w14:paraId="20E74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287C571">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29FD469A">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723B799D">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30CE6454">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481D15E2">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74699F3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7759F1DF">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05</w:t>
            </w:r>
          </w:p>
        </w:tc>
        <w:tc>
          <w:tcPr>
            <w:tcW w:w="1643" w:type="dxa"/>
            <w:vAlign w:val="center"/>
          </w:tcPr>
          <w:p w14:paraId="6A54BA6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护坡</w:t>
            </w:r>
          </w:p>
        </w:tc>
        <w:tc>
          <w:tcPr>
            <w:tcW w:w="5500" w:type="dxa"/>
            <w:vAlign w:val="center"/>
          </w:tcPr>
          <w:p w14:paraId="35E95A55">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砌石护坡、毛石粗排护坡、混凝土预制块护坡、排水</w:t>
            </w:r>
          </w:p>
        </w:tc>
      </w:tr>
      <w:tr w14:paraId="69E79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056A2DED">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57B40721">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4EA0FA3D">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0A258F97">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39EB6503">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14004A3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605B421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06</w:t>
            </w:r>
          </w:p>
        </w:tc>
        <w:tc>
          <w:tcPr>
            <w:tcW w:w="1643" w:type="dxa"/>
            <w:vAlign w:val="center"/>
          </w:tcPr>
          <w:p w14:paraId="51DB580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电缆沟</w:t>
            </w:r>
          </w:p>
        </w:tc>
        <w:tc>
          <w:tcPr>
            <w:tcW w:w="5500" w:type="dxa"/>
            <w:vAlign w:val="center"/>
          </w:tcPr>
          <w:p w14:paraId="5AD72FA9">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砖砌沟道砌筑、砖砌沟道抹灰、模板安装、钢筋、混凝土、盖板</w:t>
            </w:r>
          </w:p>
        </w:tc>
      </w:tr>
      <w:tr w14:paraId="27629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vAlign w:val="center"/>
          </w:tcPr>
          <w:p w14:paraId="59F653B8">
            <w:pPr>
              <w:numPr>
                <w:ilvl w:val="0"/>
                <w:numId w:val="0"/>
              </w:numPr>
              <w:tabs>
                <w:tab w:val="left" w:pos="360"/>
              </w:tabs>
              <w:spacing w:line="240" w:lineRule="auto"/>
              <w:ind w:left="0" w:firstLine="0"/>
              <w:jc w:val="center"/>
              <w:rPr>
                <w:rFonts w:ascii="宋体"/>
                <w:sz w:val="21"/>
                <w:szCs w:val="21"/>
              </w:rPr>
            </w:pPr>
            <w:r>
              <w:rPr>
                <w:rFonts w:ascii="宋体"/>
                <w:sz w:val="21"/>
                <w:szCs w:val="21"/>
              </w:rPr>
              <w:t>02</w:t>
            </w:r>
          </w:p>
        </w:tc>
        <w:tc>
          <w:tcPr>
            <w:tcW w:w="1227" w:type="dxa"/>
            <w:vMerge w:val="restart"/>
            <w:vAlign w:val="center"/>
          </w:tcPr>
          <w:p w14:paraId="66782686">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升压站建筑工程</w:t>
            </w:r>
          </w:p>
        </w:tc>
        <w:tc>
          <w:tcPr>
            <w:tcW w:w="786" w:type="dxa"/>
            <w:vMerge w:val="restart"/>
            <w:vAlign w:val="center"/>
          </w:tcPr>
          <w:p w14:paraId="1DEE623C">
            <w:pPr>
              <w:numPr>
                <w:ilvl w:val="0"/>
                <w:numId w:val="0"/>
              </w:numPr>
              <w:tabs>
                <w:tab w:val="left" w:pos="360"/>
              </w:tabs>
              <w:spacing w:line="240" w:lineRule="auto"/>
              <w:ind w:left="0" w:firstLine="0"/>
              <w:jc w:val="center"/>
              <w:rPr>
                <w:rFonts w:ascii="宋体"/>
                <w:sz w:val="21"/>
                <w:szCs w:val="21"/>
              </w:rPr>
            </w:pPr>
            <w:r>
              <w:rPr>
                <w:rFonts w:ascii="宋体"/>
                <w:sz w:val="21"/>
                <w:szCs w:val="21"/>
              </w:rPr>
              <w:t>02</w:t>
            </w:r>
          </w:p>
        </w:tc>
        <w:tc>
          <w:tcPr>
            <w:tcW w:w="1040" w:type="dxa"/>
            <w:vMerge w:val="restart"/>
            <w:vAlign w:val="center"/>
          </w:tcPr>
          <w:p w14:paraId="225E1845">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室外</w:t>
            </w:r>
          </w:p>
          <w:p w14:paraId="53AFB55B">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工程</w:t>
            </w:r>
          </w:p>
        </w:tc>
        <w:tc>
          <w:tcPr>
            <w:tcW w:w="706" w:type="dxa"/>
            <w:vMerge w:val="restart"/>
            <w:vAlign w:val="center"/>
          </w:tcPr>
          <w:p w14:paraId="1A9C3545">
            <w:pPr>
              <w:numPr>
                <w:ilvl w:val="0"/>
                <w:numId w:val="0"/>
              </w:numPr>
              <w:tabs>
                <w:tab w:val="left" w:pos="360"/>
              </w:tabs>
              <w:spacing w:line="240" w:lineRule="auto"/>
              <w:ind w:left="0" w:firstLine="0"/>
              <w:jc w:val="center"/>
              <w:rPr>
                <w:rFonts w:ascii="宋体"/>
                <w:sz w:val="21"/>
                <w:szCs w:val="21"/>
              </w:rPr>
            </w:pPr>
            <w:r>
              <w:rPr>
                <w:rFonts w:ascii="宋体"/>
                <w:sz w:val="21"/>
                <w:szCs w:val="21"/>
              </w:rPr>
              <w:t>02</w:t>
            </w:r>
          </w:p>
        </w:tc>
        <w:tc>
          <w:tcPr>
            <w:tcW w:w="1830" w:type="dxa"/>
            <w:vMerge w:val="restart"/>
            <w:vAlign w:val="center"/>
          </w:tcPr>
          <w:p w14:paraId="6DE71C3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户外设备基础</w:t>
            </w:r>
          </w:p>
        </w:tc>
        <w:tc>
          <w:tcPr>
            <w:tcW w:w="706" w:type="dxa"/>
            <w:vAlign w:val="center"/>
          </w:tcPr>
          <w:p w14:paraId="3A339A8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1643" w:type="dxa"/>
            <w:vAlign w:val="center"/>
          </w:tcPr>
          <w:p w14:paraId="6B468C4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SVG降压变基础</w:t>
            </w:r>
          </w:p>
        </w:tc>
        <w:tc>
          <w:tcPr>
            <w:tcW w:w="5500" w:type="dxa"/>
            <w:vAlign w:val="center"/>
          </w:tcPr>
          <w:p w14:paraId="68E42DA7">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垫层、模板、钢筋、混凝土、混凝土防腐</w:t>
            </w:r>
          </w:p>
        </w:tc>
      </w:tr>
      <w:tr w14:paraId="21B64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A6042E4">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5EB8C9B9">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3B332AD5">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0F9737DD">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29889251">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5FF6D56C">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64ECF862">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1643" w:type="dxa"/>
            <w:vAlign w:val="center"/>
          </w:tcPr>
          <w:p w14:paraId="581F1DC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避雷针基础</w:t>
            </w:r>
          </w:p>
        </w:tc>
        <w:tc>
          <w:tcPr>
            <w:tcW w:w="5500" w:type="dxa"/>
            <w:vAlign w:val="center"/>
          </w:tcPr>
          <w:p w14:paraId="244BDCD8">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垫层、模板、钢筋、混凝土</w:t>
            </w:r>
          </w:p>
        </w:tc>
      </w:tr>
      <w:tr w14:paraId="49AD9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41902291">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742A46CF">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0F0E8A02">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7ED8E8D9">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0B86BCEC">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40F75EAD">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421489F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03</w:t>
            </w:r>
          </w:p>
        </w:tc>
        <w:tc>
          <w:tcPr>
            <w:tcW w:w="1643" w:type="dxa"/>
            <w:vAlign w:val="center"/>
          </w:tcPr>
          <w:p w14:paraId="06C1D03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主变基础</w:t>
            </w:r>
          </w:p>
        </w:tc>
        <w:tc>
          <w:tcPr>
            <w:tcW w:w="5500" w:type="dxa"/>
            <w:vAlign w:val="center"/>
          </w:tcPr>
          <w:p w14:paraId="3D8632A7">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垫层、模板、钢筋、混凝土、混凝土防腐</w:t>
            </w:r>
          </w:p>
        </w:tc>
      </w:tr>
      <w:tr w14:paraId="19933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861EB38">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68E067DD">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4081D28B">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4AA13D9B">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0B36B716">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414D88F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687D8F5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04</w:t>
            </w:r>
          </w:p>
        </w:tc>
        <w:tc>
          <w:tcPr>
            <w:tcW w:w="1643" w:type="dxa"/>
            <w:vAlign w:val="center"/>
          </w:tcPr>
          <w:p w14:paraId="5CB2308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构架基础</w:t>
            </w:r>
          </w:p>
        </w:tc>
        <w:tc>
          <w:tcPr>
            <w:tcW w:w="5500" w:type="dxa"/>
            <w:vAlign w:val="center"/>
          </w:tcPr>
          <w:p w14:paraId="45D827F9">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垫层、模板、钢筋、混凝土、混凝土防腐</w:t>
            </w:r>
          </w:p>
        </w:tc>
      </w:tr>
      <w:tr w14:paraId="037C5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2067B1FC">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048F97EA">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6654D62A">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42A8EC9E">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393D9885">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6B70730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674012DD">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05</w:t>
            </w:r>
          </w:p>
        </w:tc>
        <w:tc>
          <w:tcPr>
            <w:tcW w:w="1643" w:type="dxa"/>
            <w:vAlign w:val="center"/>
          </w:tcPr>
          <w:p w14:paraId="0E707462">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防火墙</w:t>
            </w:r>
          </w:p>
        </w:tc>
        <w:tc>
          <w:tcPr>
            <w:tcW w:w="5500" w:type="dxa"/>
            <w:vAlign w:val="center"/>
          </w:tcPr>
          <w:p w14:paraId="1D6218A3">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混凝土墙、砌体</w:t>
            </w:r>
          </w:p>
        </w:tc>
      </w:tr>
      <w:tr w14:paraId="4CBCB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0CC692D3">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1FF406EF">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78B6693A">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3E79567D">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56F09F2C">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71529D5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723A05A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06</w:t>
            </w:r>
          </w:p>
        </w:tc>
        <w:tc>
          <w:tcPr>
            <w:tcW w:w="1643" w:type="dxa"/>
            <w:vAlign w:val="center"/>
          </w:tcPr>
          <w:p w14:paraId="2FA6A392">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站用变压器基础</w:t>
            </w:r>
          </w:p>
        </w:tc>
        <w:tc>
          <w:tcPr>
            <w:tcW w:w="5500" w:type="dxa"/>
            <w:vAlign w:val="center"/>
          </w:tcPr>
          <w:p w14:paraId="6ABEF688">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垫层、模板、钢筋、混凝土、混凝土防腐</w:t>
            </w:r>
          </w:p>
        </w:tc>
      </w:tr>
      <w:tr w14:paraId="1B244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0B98D4C2">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4FD9F41E">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69F418CC">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16B766A3">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304AB20A">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527BD60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66292ACC">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07</w:t>
            </w:r>
          </w:p>
        </w:tc>
        <w:tc>
          <w:tcPr>
            <w:tcW w:w="1643" w:type="dxa"/>
            <w:vAlign w:val="center"/>
          </w:tcPr>
          <w:p w14:paraId="3852EAC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接地变基础</w:t>
            </w:r>
          </w:p>
        </w:tc>
        <w:tc>
          <w:tcPr>
            <w:tcW w:w="5500" w:type="dxa"/>
            <w:vAlign w:val="center"/>
          </w:tcPr>
          <w:p w14:paraId="3D5EFBCC">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垫层、模板、钢筋、混凝土、混凝土防腐</w:t>
            </w:r>
          </w:p>
        </w:tc>
      </w:tr>
      <w:tr w14:paraId="3ABEC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A55174C">
            <w:pPr>
              <w:numPr>
                <w:ilvl w:val="0"/>
                <w:numId w:val="1"/>
              </w:numPr>
              <w:tabs>
                <w:tab w:val="left" w:pos="360"/>
              </w:tabs>
              <w:spacing w:line="240" w:lineRule="auto"/>
              <w:ind w:left="0" w:firstLine="0"/>
              <w:jc w:val="center"/>
              <w:rPr>
                <w:rFonts w:ascii="宋体"/>
                <w:sz w:val="21"/>
                <w:szCs w:val="21"/>
              </w:rPr>
            </w:pPr>
          </w:p>
        </w:tc>
        <w:tc>
          <w:tcPr>
            <w:tcW w:w="1227" w:type="dxa"/>
            <w:vMerge w:val="continue"/>
            <w:vAlign w:val="center"/>
          </w:tcPr>
          <w:p w14:paraId="313FA970">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29916491">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6507F001">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230C0F48">
            <w:pPr>
              <w:numPr>
                <w:ilvl w:val="0"/>
                <w:numId w:val="1"/>
              </w:numPr>
              <w:tabs>
                <w:tab w:val="left" w:pos="360"/>
              </w:tabs>
              <w:spacing w:line="240" w:lineRule="auto"/>
              <w:ind w:left="0" w:firstLine="0"/>
              <w:jc w:val="center"/>
              <w:rPr>
                <w:rFonts w:ascii="宋体"/>
                <w:sz w:val="21"/>
                <w:szCs w:val="21"/>
              </w:rPr>
            </w:pPr>
          </w:p>
        </w:tc>
        <w:tc>
          <w:tcPr>
            <w:tcW w:w="1830" w:type="dxa"/>
            <w:vMerge w:val="continue"/>
            <w:vAlign w:val="center"/>
          </w:tcPr>
          <w:p w14:paraId="7848CA64">
            <w:pPr>
              <w:widowControl/>
              <w:numPr>
                <w:ilvl w:val="0"/>
                <w:numId w:val="1"/>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7278DF6B">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08</w:t>
            </w:r>
          </w:p>
        </w:tc>
        <w:tc>
          <w:tcPr>
            <w:tcW w:w="1643" w:type="dxa"/>
            <w:vAlign w:val="center"/>
          </w:tcPr>
          <w:p w14:paraId="0573A46F">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GIS户外设备基础</w:t>
            </w:r>
          </w:p>
        </w:tc>
        <w:tc>
          <w:tcPr>
            <w:tcW w:w="5500" w:type="dxa"/>
            <w:vAlign w:val="center"/>
          </w:tcPr>
          <w:p w14:paraId="5914C471">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垫层、模板、钢筋、混凝土、混凝土防腐</w:t>
            </w:r>
          </w:p>
        </w:tc>
      </w:tr>
      <w:tr w14:paraId="23366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49ACEFAA">
            <w:pPr>
              <w:numPr>
                <w:ilvl w:val="0"/>
                <w:numId w:val="1"/>
              </w:numPr>
              <w:tabs>
                <w:tab w:val="left" w:pos="360"/>
              </w:tabs>
              <w:spacing w:line="240" w:lineRule="auto"/>
              <w:ind w:left="0" w:firstLine="0"/>
              <w:jc w:val="center"/>
              <w:rPr>
                <w:rFonts w:ascii="宋体"/>
                <w:sz w:val="21"/>
                <w:szCs w:val="21"/>
              </w:rPr>
            </w:pPr>
          </w:p>
        </w:tc>
        <w:tc>
          <w:tcPr>
            <w:tcW w:w="1227" w:type="dxa"/>
            <w:vMerge w:val="continue"/>
            <w:vAlign w:val="center"/>
          </w:tcPr>
          <w:p w14:paraId="61C09926">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3ECBF5B1">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09D5B904">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2CA57ACE">
            <w:pPr>
              <w:numPr>
                <w:ilvl w:val="0"/>
                <w:numId w:val="1"/>
              </w:numPr>
              <w:tabs>
                <w:tab w:val="left" w:pos="360"/>
              </w:tabs>
              <w:spacing w:line="240" w:lineRule="auto"/>
              <w:ind w:left="0" w:firstLine="0"/>
              <w:jc w:val="center"/>
              <w:rPr>
                <w:rFonts w:ascii="宋体"/>
                <w:sz w:val="21"/>
                <w:szCs w:val="21"/>
              </w:rPr>
            </w:pPr>
          </w:p>
        </w:tc>
        <w:tc>
          <w:tcPr>
            <w:tcW w:w="1830" w:type="dxa"/>
            <w:vMerge w:val="continue"/>
            <w:vAlign w:val="center"/>
          </w:tcPr>
          <w:p w14:paraId="3EF4B4BA">
            <w:pPr>
              <w:widowControl/>
              <w:numPr>
                <w:ilvl w:val="0"/>
                <w:numId w:val="1"/>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1E47A4FF">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09</w:t>
            </w:r>
          </w:p>
        </w:tc>
        <w:tc>
          <w:tcPr>
            <w:tcW w:w="1643" w:type="dxa"/>
            <w:vAlign w:val="center"/>
          </w:tcPr>
          <w:p w14:paraId="3F5F751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事故油池</w:t>
            </w:r>
          </w:p>
        </w:tc>
        <w:tc>
          <w:tcPr>
            <w:tcW w:w="5500" w:type="dxa"/>
            <w:vAlign w:val="center"/>
          </w:tcPr>
          <w:p w14:paraId="2A361933">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垫层、油池、坑模板、钢筋、油池、坑混凝土、混凝土防腐、排油管安装</w:t>
            </w:r>
          </w:p>
        </w:tc>
      </w:tr>
      <w:tr w14:paraId="7FB19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639D8D59">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1C3DB4CE">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2EDACEFE">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01C22620">
            <w:pPr>
              <w:numPr>
                <w:ilvl w:val="0"/>
                <w:numId w:val="0"/>
              </w:numPr>
              <w:tabs>
                <w:tab w:val="left" w:pos="360"/>
              </w:tabs>
              <w:spacing w:line="240" w:lineRule="auto"/>
              <w:ind w:left="0" w:firstLine="0"/>
              <w:jc w:val="center"/>
              <w:rPr>
                <w:rFonts w:ascii="宋体"/>
                <w:sz w:val="21"/>
                <w:szCs w:val="21"/>
              </w:rPr>
            </w:pPr>
          </w:p>
        </w:tc>
        <w:tc>
          <w:tcPr>
            <w:tcW w:w="706" w:type="dxa"/>
            <w:vMerge w:val="restart"/>
            <w:vAlign w:val="center"/>
          </w:tcPr>
          <w:p w14:paraId="6F7EB9DE">
            <w:pPr>
              <w:numPr>
                <w:ilvl w:val="0"/>
                <w:numId w:val="0"/>
              </w:numPr>
              <w:tabs>
                <w:tab w:val="left" w:pos="360"/>
              </w:tabs>
              <w:spacing w:line="240" w:lineRule="auto"/>
              <w:ind w:left="0" w:firstLine="0"/>
              <w:jc w:val="center"/>
              <w:rPr>
                <w:rFonts w:ascii="宋体"/>
                <w:sz w:val="21"/>
                <w:szCs w:val="21"/>
              </w:rPr>
            </w:pPr>
            <w:r>
              <w:rPr>
                <w:rFonts w:ascii="宋体"/>
                <w:sz w:val="21"/>
                <w:szCs w:val="21"/>
              </w:rPr>
              <w:t>03</w:t>
            </w:r>
          </w:p>
        </w:tc>
        <w:tc>
          <w:tcPr>
            <w:tcW w:w="1830" w:type="dxa"/>
            <w:vMerge w:val="restart"/>
            <w:vAlign w:val="center"/>
          </w:tcPr>
          <w:p w14:paraId="15EB25B2">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预制舱基础</w:t>
            </w:r>
          </w:p>
        </w:tc>
        <w:tc>
          <w:tcPr>
            <w:tcW w:w="706" w:type="dxa"/>
            <w:vAlign w:val="center"/>
          </w:tcPr>
          <w:p w14:paraId="2870532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1643" w:type="dxa"/>
            <w:vAlign w:val="center"/>
          </w:tcPr>
          <w:p w14:paraId="2853A73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XXkV配电装置预制舱基础</w:t>
            </w:r>
          </w:p>
        </w:tc>
        <w:tc>
          <w:tcPr>
            <w:tcW w:w="5500" w:type="dxa"/>
            <w:vAlign w:val="center"/>
          </w:tcPr>
          <w:p w14:paraId="004C530B">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垫层、模板、钢筋、混凝土、混凝土防腐</w:t>
            </w:r>
          </w:p>
        </w:tc>
      </w:tr>
      <w:tr w14:paraId="5FD8B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2D046F78">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685888E4">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30A7EA3D">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63D23DE0">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383C229C">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6A2D781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47F16AF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1643" w:type="dxa"/>
            <w:vAlign w:val="center"/>
          </w:tcPr>
          <w:p w14:paraId="747FD222">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二次装置预制舱基础</w:t>
            </w:r>
          </w:p>
        </w:tc>
        <w:tc>
          <w:tcPr>
            <w:tcW w:w="5500" w:type="dxa"/>
            <w:vAlign w:val="center"/>
          </w:tcPr>
          <w:p w14:paraId="0C48C22A">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垫层、模板、钢筋、混凝土、混凝土防腐</w:t>
            </w:r>
          </w:p>
        </w:tc>
      </w:tr>
      <w:tr w14:paraId="04202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85E4525">
            <w:pPr>
              <w:numPr>
                <w:ilvl w:val="0"/>
                <w:numId w:val="1"/>
              </w:numPr>
              <w:tabs>
                <w:tab w:val="left" w:pos="360"/>
              </w:tabs>
              <w:spacing w:line="240" w:lineRule="auto"/>
              <w:ind w:left="0" w:firstLine="0"/>
              <w:jc w:val="center"/>
              <w:rPr>
                <w:rFonts w:ascii="宋体"/>
                <w:sz w:val="21"/>
                <w:szCs w:val="21"/>
              </w:rPr>
            </w:pPr>
          </w:p>
        </w:tc>
        <w:tc>
          <w:tcPr>
            <w:tcW w:w="1227" w:type="dxa"/>
            <w:vMerge w:val="continue"/>
            <w:vAlign w:val="center"/>
          </w:tcPr>
          <w:p w14:paraId="2EEB27DC">
            <w:pPr>
              <w:numPr>
                <w:ilvl w:val="0"/>
                <w:numId w:val="1"/>
              </w:numPr>
              <w:tabs>
                <w:tab w:val="left" w:pos="360"/>
              </w:tabs>
              <w:spacing w:line="240" w:lineRule="auto"/>
              <w:ind w:left="0" w:firstLine="0"/>
              <w:jc w:val="center"/>
              <w:rPr>
                <w:rFonts w:ascii="宋体"/>
                <w:sz w:val="21"/>
                <w:szCs w:val="21"/>
              </w:rPr>
            </w:pPr>
          </w:p>
        </w:tc>
        <w:tc>
          <w:tcPr>
            <w:tcW w:w="786" w:type="dxa"/>
            <w:vMerge w:val="continue"/>
            <w:vAlign w:val="center"/>
          </w:tcPr>
          <w:p w14:paraId="5A3C8B24">
            <w:pPr>
              <w:numPr>
                <w:ilvl w:val="0"/>
                <w:numId w:val="1"/>
              </w:numPr>
              <w:tabs>
                <w:tab w:val="left" w:pos="360"/>
              </w:tabs>
              <w:spacing w:line="240" w:lineRule="auto"/>
              <w:ind w:left="0" w:firstLine="0"/>
              <w:jc w:val="center"/>
              <w:rPr>
                <w:rFonts w:ascii="宋体"/>
                <w:sz w:val="21"/>
                <w:szCs w:val="21"/>
              </w:rPr>
            </w:pPr>
          </w:p>
        </w:tc>
        <w:tc>
          <w:tcPr>
            <w:tcW w:w="1040" w:type="dxa"/>
            <w:vMerge w:val="continue"/>
            <w:vAlign w:val="center"/>
          </w:tcPr>
          <w:p w14:paraId="7723392F">
            <w:pPr>
              <w:numPr>
                <w:ilvl w:val="0"/>
                <w:numId w:val="1"/>
              </w:numPr>
              <w:tabs>
                <w:tab w:val="left" w:pos="360"/>
              </w:tabs>
              <w:spacing w:line="240" w:lineRule="auto"/>
              <w:ind w:left="0" w:firstLine="0"/>
              <w:jc w:val="center"/>
              <w:rPr>
                <w:rFonts w:ascii="宋体"/>
                <w:sz w:val="21"/>
                <w:szCs w:val="21"/>
              </w:rPr>
            </w:pPr>
          </w:p>
        </w:tc>
        <w:tc>
          <w:tcPr>
            <w:tcW w:w="706" w:type="dxa"/>
            <w:vMerge w:val="continue"/>
            <w:vAlign w:val="center"/>
          </w:tcPr>
          <w:p w14:paraId="5719FB2E">
            <w:pPr>
              <w:numPr>
                <w:ilvl w:val="0"/>
                <w:numId w:val="1"/>
              </w:numPr>
              <w:tabs>
                <w:tab w:val="left" w:pos="360"/>
              </w:tabs>
              <w:spacing w:line="240" w:lineRule="auto"/>
              <w:ind w:left="0" w:firstLine="0"/>
              <w:jc w:val="center"/>
              <w:rPr>
                <w:rFonts w:ascii="宋体"/>
                <w:sz w:val="21"/>
                <w:szCs w:val="21"/>
              </w:rPr>
            </w:pPr>
          </w:p>
        </w:tc>
        <w:tc>
          <w:tcPr>
            <w:tcW w:w="1830" w:type="dxa"/>
            <w:vMerge w:val="continue"/>
            <w:vAlign w:val="center"/>
          </w:tcPr>
          <w:p w14:paraId="3C5FC2BF">
            <w:pPr>
              <w:widowControl/>
              <w:numPr>
                <w:ilvl w:val="0"/>
                <w:numId w:val="1"/>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4D1D1A8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03</w:t>
            </w:r>
          </w:p>
        </w:tc>
        <w:tc>
          <w:tcPr>
            <w:tcW w:w="1643" w:type="dxa"/>
            <w:vAlign w:val="center"/>
          </w:tcPr>
          <w:p w14:paraId="74D3D94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SVG预制舱基础</w:t>
            </w:r>
          </w:p>
        </w:tc>
        <w:tc>
          <w:tcPr>
            <w:tcW w:w="5500" w:type="dxa"/>
            <w:vAlign w:val="center"/>
          </w:tcPr>
          <w:p w14:paraId="2291D062">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垫层、模板、钢筋、混凝土、混凝土防腐</w:t>
            </w:r>
          </w:p>
        </w:tc>
      </w:tr>
      <w:tr w14:paraId="0B2F7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019C8827">
            <w:pPr>
              <w:numPr>
                <w:ilvl w:val="0"/>
                <w:numId w:val="0"/>
              </w:numPr>
              <w:tabs>
                <w:tab w:val="left" w:pos="360"/>
              </w:tabs>
              <w:spacing w:line="240" w:lineRule="auto"/>
              <w:ind w:left="0" w:firstLine="0"/>
              <w:jc w:val="center"/>
              <w:rPr>
                <w:rFonts w:ascii="宋体"/>
                <w:sz w:val="21"/>
                <w:szCs w:val="21"/>
              </w:rPr>
            </w:pPr>
          </w:p>
        </w:tc>
        <w:tc>
          <w:tcPr>
            <w:tcW w:w="1227" w:type="dxa"/>
            <w:vMerge w:val="continue"/>
            <w:vAlign w:val="center"/>
          </w:tcPr>
          <w:p w14:paraId="169BFFD4">
            <w:pPr>
              <w:numPr>
                <w:ilvl w:val="0"/>
                <w:numId w:val="0"/>
              </w:numPr>
              <w:tabs>
                <w:tab w:val="left" w:pos="360"/>
              </w:tabs>
              <w:spacing w:line="240" w:lineRule="auto"/>
              <w:ind w:left="0" w:firstLine="0"/>
              <w:jc w:val="center"/>
              <w:rPr>
                <w:rFonts w:ascii="宋体"/>
                <w:sz w:val="21"/>
                <w:szCs w:val="21"/>
              </w:rPr>
            </w:pPr>
          </w:p>
        </w:tc>
        <w:tc>
          <w:tcPr>
            <w:tcW w:w="786" w:type="dxa"/>
            <w:vMerge w:val="continue"/>
            <w:vAlign w:val="center"/>
          </w:tcPr>
          <w:p w14:paraId="3751C488">
            <w:pPr>
              <w:numPr>
                <w:ilvl w:val="0"/>
                <w:numId w:val="0"/>
              </w:numPr>
              <w:tabs>
                <w:tab w:val="left" w:pos="360"/>
              </w:tabs>
              <w:spacing w:line="240" w:lineRule="auto"/>
              <w:ind w:left="0" w:firstLine="0"/>
              <w:jc w:val="center"/>
              <w:rPr>
                <w:rFonts w:ascii="宋体"/>
                <w:sz w:val="21"/>
                <w:szCs w:val="21"/>
              </w:rPr>
            </w:pPr>
          </w:p>
        </w:tc>
        <w:tc>
          <w:tcPr>
            <w:tcW w:w="1040" w:type="dxa"/>
            <w:vMerge w:val="continue"/>
            <w:vAlign w:val="center"/>
          </w:tcPr>
          <w:p w14:paraId="018EBE46">
            <w:pPr>
              <w:numPr>
                <w:ilvl w:val="0"/>
                <w:numId w:val="0"/>
              </w:numPr>
              <w:tabs>
                <w:tab w:val="left" w:pos="360"/>
              </w:tabs>
              <w:spacing w:line="240" w:lineRule="auto"/>
              <w:ind w:left="0" w:firstLine="0"/>
              <w:jc w:val="center"/>
              <w:rPr>
                <w:rFonts w:ascii="宋体"/>
                <w:sz w:val="21"/>
                <w:szCs w:val="21"/>
              </w:rPr>
            </w:pPr>
          </w:p>
        </w:tc>
        <w:tc>
          <w:tcPr>
            <w:tcW w:w="706" w:type="dxa"/>
            <w:vMerge w:val="continue"/>
            <w:vAlign w:val="center"/>
          </w:tcPr>
          <w:p w14:paraId="1164ABA4">
            <w:pPr>
              <w:numPr>
                <w:ilvl w:val="0"/>
                <w:numId w:val="0"/>
              </w:numPr>
              <w:tabs>
                <w:tab w:val="left" w:pos="360"/>
              </w:tabs>
              <w:spacing w:line="240" w:lineRule="auto"/>
              <w:ind w:left="0" w:firstLine="0"/>
              <w:jc w:val="center"/>
              <w:rPr>
                <w:rFonts w:ascii="宋体"/>
                <w:sz w:val="21"/>
                <w:szCs w:val="21"/>
              </w:rPr>
            </w:pPr>
          </w:p>
        </w:tc>
        <w:tc>
          <w:tcPr>
            <w:tcW w:w="1830" w:type="dxa"/>
            <w:vMerge w:val="continue"/>
            <w:vAlign w:val="center"/>
          </w:tcPr>
          <w:p w14:paraId="5CA817FC">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6" w:type="dxa"/>
            <w:vAlign w:val="center"/>
          </w:tcPr>
          <w:p w14:paraId="26DD4FF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04</w:t>
            </w:r>
          </w:p>
        </w:tc>
        <w:tc>
          <w:tcPr>
            <w:tcW w:w="1643" w:type="dxa"/>
            <w:vAlign w:val="center"/>
          </w:tcPr>
          <w:p w14:paraId="36FAF07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olor w:val="000000"/>
                <w:sz w:val="21"/>
                <w:szCs w:val="21"/>
              </w:rPr>
              <w:t>XXXkV气体绝缘金属封闭式开关设备</w:t>
            </w:r>
            <w:r>
              <w:rPr>
                <w:rFonts w:hint="eastAsia" w:ascii="宋体" w:hAnsi="宋体" w:cs="宋体"/>
                <w:color w:val="000000"/>
                <w:kern w:val="0"/>
                <w:sz w:val="21"/>
                <w:szCs w:val="21"/>
              </w:rPr>
              <w:t>预制舱基础</w:t>
            </w:r>
          </w:p>
        </w:tc>
        <w:tc>
          <w:tcPr>
            <w:tcW w:w="5500" w:type="dxa"/>
            <w:vAlign w:val="center"/>
          </w:tcPr>
          <w:p w14:paraId="321F08B7">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垫层、模板、钢筋、混凝土、混凝土防腐</w:t>
            </w:r>
          </w:p>
        </w:tc>
      </w:tr>
    </w:tbl>
    <w:p w14:paraId="120EEE26">
      <w:pPr>
        <w:widowControl/>
        <w:adjustRightInd/>
        <w:snapToGrid/>
        <w:spacing w:line="240" w:lineRule="auto"/>
        <w:jc w:val="left"/>
      </w:pPr>
    </w:p>
    <w:p w14:paraId="20953C8C">
      <w:pPr>
        <w:widowControl/>
        <w:adjustRightInd/>
        <w:snapToGrid/>
        <w:spacing w:line="240" w:lineRule="auto"/>
        <w:jc w:val="left"/>
        <w:rPr>
          <w:rFonts w:eastAsia="黑体"/>
          <w:b/>
          <w:bCs/>
          <w:kern w:val="44"/>
          <w:szCs w:val="44"/>
        </w:rPr>
      </w:pPr>
      <w:r>
        <w:br w:type="page"/>
      </w:r>
    </w:p>
    <w:p w14:paraId="18CF2A43">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pPr>
      <w:bookmarkStart w:id="104" w:name="_Toc92737148"/>
      <w:bookmarkStart w:id="105" w:name="_Toc14335"/>
      <w:r>
        <w:rPr>
          <w:rFonts w:hint="eastAsia" w:eastAsia="宋体"/>
        </w:rPr>
        <w:t>附录C</w:t>
      </w:r>
      <w:r>
        <w:rPr>
          <w:rFonts w:hint="eastAsia"/>
          <w:lang w:val="en-US" w:eastAsia="zh-CN"/>
        </w:rPr>
        <w:t xml:space="preserve">  </w:t>
      </w:r>
      <w:r>
        <w:rPr>
          <w:rFonts w:hint="eastAsia" w:eastAsia="宋体"/>
        </w:rPr>
        <w:t>升压站电气安装工程质量验收范围划分表</w:t>
      </w:r>
      <w:bookmarkEnd w:id="104"/>
      <w:bookmarkEnd w:id="105"/>
    </w:p>
    <w:p w14:paraId="0031494C">
      <w:pPr>
        <w:jc w:val="center"/>
        <w:rPr>
          <w:sz w:val="21"/>
          <w:szCs w:val="21"/>
        </w:rPr>
      </w:pPr>
      <w:r>
        <w:rPr>
          <w:rFonts w:hint="eastAsia" w:ascii="黑体" w:hAnsi="黑体" w:eastAsia="黑体" w:cs="黑体"/>
          <w:sz w:val="28"/>
          <w:szCs w:val="28"/>
        </w:rPr>
        <w:t>表</w:t>
      </w:r>
      <w:r>
        <w:rPr>
          <w:rFonts w:hint="default" w:ascii="Times New Roman" w:hAnsi="Times New Roman" w:eastAsia="黑体" w:cs="Times New Roman"/>
          <w:b/>
          <w:bCs/>
          <w:sz w:val="28"/>
          <w:szCs w:val="28"/>
        </w:rPr>
        <w:t>C</w:t>
      </w:r>
      <w:r>
        <w:rPr>
          <w:rFonts w:hint="eastAsia"/>
          <w:lang w:val="en-US" w:eastAsia="zh-CN"/>
        </w:rPr>
        <w:t xml:space="preserve">  </w:t>
      </w:r>
      <w:r>
        <w:rPr>
          <w:rFonts w:hint="eastAsia" w:ascii="黑体" w:hAnsi="黑体" w:eastAsia="黑体" w:cs="黑体"/>
          <w:sz w:val="28"/>
          <w:szCs w:val="28"/>
        </w:rPr>
        <w:t>升压站电气安装工程质量验收范围划分表</w:t>
      </w:r>
    </w:p>
    <w:tbl>
      <w:tblPr>
        <w:tblStyle w:val="13"/>
        <w:tblW w:w="1401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4"/>
        <w:gridCol w:w="1233"/>
        <w:gridCol w:w="709"/>
        <w:gridCol w:w="1843"/>
        <w:gridCol w:w="709"/>
        <w:gridCol w:w="2877"/>
        <w:gridCol w:w="6108"/>
      </w:tblGrid>
      <w:tr w14:paraId="2EC58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restart"/>
            <w:vAlign w:val="center"/>
          </w:tcPr>
          <w:p w14:paraId="06AD5C97">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233" w:type="dxa"/>
            <w:vMerge w:val="restart"/>
            <w:vAlign w:val="center"/>
          </w:tcPr>
          <w:p w14:paraId="52FADD19">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单位工程</w:t>
            </w:r>
          </w:p>
        </w:tc>
        <w:tc>
          <w:tcPr>
            <w:tcW w:w="2552" w:type="dxa"/>
            <w:gridSpan w:val="2"/>
            <w:vAlign w:val="center"/>
          </w:tcPr>
          <w:p w14:paraId="1C41293A">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分部工程</w:t>
            </w:r>
          </w:p>
        </w:tc>
        <w:tc>
          <w:tcPr>
            <w:tcW w:w="3586" w:type="dxa"/>
            <w:gridSpan w:val="2"/>
            <w:vAlign w:val="center"/>
          </w:tcPr>
          <w:p w14:paraId="0C2D54D3">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子分部工程</w:t>
            </w:r>
          </w:p>
        </w:tc>
        <w:tc>
          <w:tcPr>
            <w:tcW w:w="6108" w:type="dxa"/>
            <w:vMerge w:val="restart"/>
            <w:tcBorders>
              <w:top w:val="single" w:color="auto" w:sz="4" w:space="0"/>
              <w:right w:val="single" w:color="auto" w:sz="4" w:space="0"/>
            </w:tcBorders>
            <w:shd w:val="clear" w:color="auto" w:fill="auto"/>
            <w:vAlign w:val="center"/>
          </w:tcPr>
          <w:p w14:paraId="126C6586">
            <w:pPr>
              <w:widowControl/>
              <w:numPr>
                <w:ilvl w:val="0"/>
                <w:numId w:val="0"/>
              </w:numPr>
              <w:tabs>
                <w:tab w:val="left" w:pos="360"/>
              </w:tabs>
              <w:adjustRightInd/>
              <w:snapToGrid/>
              <w:spacing w:line="240" w:lineRule="auto"/>
              <w:ind w:left="0" w:firstLine="0"/>
              <w:jc w:val="center"/>
              <w:rPr>
                <w:rFonts w:ascii="宋体"/>
                <w:sz w:val="21"/>
                <w:szCs w:val="21"/>
              </w:rPr>
            </w:pPr>
            <w:r>
              <w:rPr>
                <w:rFonts w:hint="eastAsia" w:ascii="宋体"/>
                <w:sz w:val="21"/>
                <w:szCs w:val="21"/>
              </w:rPr>
              <w:t>分项工程</w:t>
            </w:r>
          </w:p>
        </w:tc>
      </w:tr>
      <w:tr w14:paraId="0F15D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continue"/>
            <w:vAlign w:val="center"/>
          </w:tcPr>
          <w:p w14:paraId="73179ECB">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562AD5DF">
            <w:pPr>
              <w:numPr>
                <w:ilvl w:val="0"/>
                <w:numId w:val="0"/>
              </w:numPr>
              <w:tabs>
                <w:tab w:val="left" w:pos="360"/>
              </w:tabs>
              <w:spacing w:line="240" w:lineRule="auto"/>
              <w:ind w:left="0" w:firstLine="0"/>
              <w:jc w:val="center"/>
              <w:rPr>
                <w:rFonts w:ascii="宋体"/>
                <w:sz w:val="21"/>
                <w:szCs w:val="21"/>
              </w:rPr>
            </w:pPr>
          </w:p>
        </w:tc>
        <w:tc>
          <w:tcPr>
            <w:tcW w:w="709" w:type="dxa"/>
            <w:vAlign w:val="center"/>
          </w:tcPr>
          <w:p w14:paraId="67E0F3DE">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843" w:type="dxa"/>
            <w:vAlign w:val="center"/>
          </w:tcPr>
          <w:p w14:paraId="68E7180D">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709" w:type="dxa"/>
            <w:vAlign w:val="center"/>
          </w:tcPr>
          <w:p w14:paraId="3C175930">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2877" w:type="dxa"/>
            <w:vAlign w:val="center"/>
          </w:tcPr>
          <w:p w14:paraId="75D5B553">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6108" w:type="dxa"/>
            <w:vMerge w:val="continue"/>
            <w:tcBorders>
              <w:right w:val="single" w:color="auto" w:sz="4" w:space="0"/>
            </w:tcBorders>
            <w:vAlign w:val="center"/>
          </w:tcPr>
          <w:p w14:paraId="4CAD3C71">
            <w:pPr>
              <w:numPr>
                <w:ilvl w:val="0"/>
                <w:numId w:val="0"/>
              </w:numPr>
              <w:tabs>
                <w:tab w:val="left" w:pos="360"/>
              </w:tabs>
              <w:spacing w:line="240" w:lineRule="auto"/>
              <w:ind w:left="0" w:firstLine="0"/>
              <w:jc w:val="center"/>
              <w:rPr>
                <w:rFonts w:ascii="宋体"/>
                <w:sz w:val="21"/>
                <w:szCs w:val="21"/>
              </w:rPr>
            </w:pPr>
          </w:p>
        </w:tc>
      </w:tr>
      <w:tr w14:paraId="1C4ED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vAlign w:val="center"/>
          </w:tcPr>
          <w:p w14:paraId="31C4C7B6">
            <w:pPr>
              <w:numPr>
                <w:ilvl w:val="0"/>
                <w:numId w:val="0"/>
              </w:numPr>
              <w:tabs>
                <w:tab w:val="left" w:pos="360"/>
              </w:tabs>
              <w:spacing w:line="240" w:lineRule="auto"/>
              <w:ind w:left="0" w:firstLine="0"/>
              <w:jc w:val="center"/>
              <w:rPr>
                <w:rFonts w:ascii="宋体"/>
                <w:sz w:val="21"/>
                <w:szCs w:val="21"/>
              </w:rPr>
            </w:pPr>
            <w:r>
              <w:rPr>
                <w:rFonts w:ascii="宋体"/>
                <w:sz w:val="21"/>
                <w:szCs w:val="21"/>
              </w:rPr>
              <w:t>03</w:t>
            </w:r>
          </w:p>
        </w:tc>
        <w:tc>
          <w:tcPr>
            <w:tcW w:w="1233" w:type="dxa"/>
            <w:vMerge w:val="restart"/>
            <w:vAlign w:val="center"/>
          </w:tcPr>
          <w:p w14:paraId="145A9E30">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升压站电气安装工程</w:t>
            </w:r>
          </w:p>
        </w:tc>
        <w:tc>
          <w:tcPr>
            <w:tcW w:w="709" w:type="dxa"/>
            <w:vMerge w:val="restart"/>
            <w:vAlign w:val="center"/>
          </w:tcPr>
          <w:p w14:paraId="679E5243">
            <w:pPr>
              <w:widowControl/>
              <w:numPr>
                <w:ilvl w:val="0"/>
                <w:numId w:val="0"/>
              </w:numPr>
              <w:tabs>
                <w:tab w:val="left" w:pos="360"/>
              </w:tabs>
              <w:spacing w:line="240" w:lineRule="auto"/>
              <w:ind w:left="0" w:firstLine="0"/>
              <w:jc w:val="center"/>
              <w:textAlignment w:val="top"/>
              <w:rPr>
                <w:rFonts w:ascii="宋体" w:hAnsi="宋体" w:cs="宋体"/>
                <w:color w:val="000000"/>
                <w:sz w:val="21"/>
                <w:szCs w:val="21"/>
              </w:rPr>
            </w:pPr>
            <w:r>
              <w:rPr>
                <w:rFonts w:ascii="宋体" w:hAnsi="宋体" w:cs="宋体"/>
                <w:color w:val="000000"/>
                <w:kern w:val="0"/>
                <w:sz w:val="21"/>
                <w:szCs w:val="21"/>
              </w:rPr>
              <w:t>01</w:t>
            </w:r>
          </w:p>
        </w:tc>
        <w:tc>
          <w:tcPr>
            <w:tcW w:w="1843" w:type="dxa"/>
            <w:vMerge w:val="restart"/>
            <w:vAlign w:val="center"/>
          </w:tcPr>
          <w:p w14:paraId="579707C1">
            <w:pPr>
              <w:widowControl/>
              <w:numPr>
                <w:ilvl w:val="0"/>
                <w:numId w:val="0"/>
              </w:numPr>
              <w:tabs>
                <w:tab w:val="left" w:pos="360"/>
              </w:tabs>
              <w:spacing w:line="240" w:lineRule="auto"/>
              <w:ind w:left="0" w:firstLine="0"/>
              <w:jc w:val="center"/>
              <w:textAlignment w:val="top"/>
              <w:rPr>
                <w:rFonts w:ascii="宋体" w:hAnsi="宋体" w:cs="宋体"/>
                <w:color w:val="000000"/>
                <w:sz w:val="21"/>
                <w:szCs w:val="21"/>
              </w:rPr>
            </w:pPr>
            <w:r>
              <w:rPr>
                <w:rFonts w:hint="eastAsia" w:ascii="宋体" w:hAnsi="宋体"/>
                <w:color w:val="000000"/>
                <w:sz w:val="21"/>
                <w:szCs w:val="21"/>
              </w:rPr>
              <w:t>主变压器系统设备安装</w:t>
            </w:r>
          </w:p>
        </w:tc>
        <w:tc>
          <w:tcPr>
            <w:tcW w:w="709" w:type="dxa"/>
            <w:vAlign w:val="center"/>
          </w:tcPr>
          <w:p w14:paraId="3B17DADD">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ascii="宋体" w:hAnsi="宋体" w:cs="宋体"/>
                <w:color w:val="000000"/>
                <w:kern w:val="0"/>
                <w:sz w:val="21"/>
                <w:szCs w:val="21"/>
              </w:rPr>
              <w:t>01</w:t>
            </w:r>
          </w:p>
        </w:tc>
        <w:tc>
          <w:tcPr>
            <w:tcW w:w="2877" w:type="dxa"/>
            <w:vAlign w:val="center"/>
          </w:tcPr>
          <w:p w14:paraId="06C422A6">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hint="eastAsia" w:ascii="宋体"/>
                <w:sz w:val="21"/>
                <w:szCs w:val="21"/>
              </w:rPr>
              <w:t>主变压器安装</w:t>
            </w:r>
          </w:p>
        </w:tc>
        <w:tc>
          <w:tcPr>
            <w:tcW w:w="6108" w:type="dxa"/>
            <w:vAlign w:val="center"/>
          </w:tcPr>
          <w:p w14:paraId="27400FA0">
            <w:pPr>
              <w:widowControl/>
              <w:numPr>
                <w:ilvl w:val="0"/>
                <w:numId w:val="0"/>
              </w:numPr>
              <w:tabs>
                <w:tab w:val="left" w:pos="360"/>
              </w:tabs>
              <w:spacing w:line="240" w:lineRule="auto"/>
              <w:ind w:left="0" w:firstLine="0"/>
              <w:jc w:val="left"/>
              <w:textAlignment w:val="center"/>
              <w:rPr>
                <w:rFonts w:ascii="宋体" w:hAnsi="宋体" w:cs="宋体"/>
                <w:color w:val="000000"/>
                <w:sz w:val="21"/>
                <w:szCs w:val="21"/>
              </w:rPr>
            </w:pPr>
            <w:r>
              <w:rPr>
                <w:rFonts w:hint="eastAsia" w:ascii="宋体" w:hAnsi="宋体"/>
                <w:color w:val="000000"/>
                <w:sz w:val="21"/>
                <w:szCs w:val="21"/>
              </w:rPr>
              <w:t>主变压器本体安装、主变压器器身检查、主变压器附件安装、主变压器注油及密封试验、主变压器整体检查</w:t>
            </w:r>
          </w:p>
        </w:tc>
      </w:tr>
      <w:tr w14:paraId="26488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5A95F74">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64319071">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79B41A3F">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5350B97C">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p>
        </w:tc>
        <w:tc>
          <w:tcPr>
            <w:tcW w:w="709" w:type="dxa"/>
            <w:vAlign w:val="center"/>
          </w:tcPr>
          <w:p w14:paraId="2611A917">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ascii="宋体" w:hAnsi="宋体" w:cs="宋体"/>
                <w:color w:val="000000"/>
                <w:kern w:val="0"/>
                <w:sz w:val="21"/>
                <w:szCs w:val="21"/>
              </w:rPr>
              <w:t>02</w:t>
            </w:r>
          </w:p>
        </w:tc>
        <w:tc>
          <w:tcPr>
            <w:tcW w:w="2877" w:type="dxa"/>
            <w:vAlign w:val="center"/>
          </w:tcPr>
          <w:p w14:paraId="41365AF4">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hint="eastAsia" w:ascii="宋体" w:hAnsi="宋体"/>
                <w:color w:val="000000"/>
                <w:sz w:val="21"/>
                <w:szCs w:val="21"/>
              </w:rPr>
              <w:t>主变压器系统附属设备安装</w:t>
            </w:r>
          </w:p>
        </w:tc>
        <w:tc>
          <w:tcPr>
            <w:tcW w:w="6108" w:type="dxa"/>
            <w:vAlign w:val="center"/>
          </w:tcPr>
          <w:p w14:paraId="36052834">
            <w:pPr>
              <w:widowControl/>
              <w:numPr>
                <w:ilvl w:val="0"/>
                <w:numId w:val="0"/>
              </w:numPr>
              <w:tabs>
                <w:tab w:val="left" w:pos="360"/>
              </w:tabs>
              <w:spacing w:line="240" w:lineRule="auto"/>
              <w:ind w:left="0" w:firstLine="0"/>
              <w:jc w:val="left"/>
              <w:textAlignment w:val="center"/>
              <w:rPr>
                <w:rFonts w:ascii="宋体" w:hAnsi="宋体" w:cs="宋体"/>
                <w:color w:val="000000"/>
                <w:sz w:val="21"/>
                <w:szCs w:val="21"/>
              </w:rPr>
            </w:pPr>
            <w:r>
              <w:rPr>
                <w:rFonts w:hint="eastAsia" w:ascii="宋体" w:hAnsi="宋体"/>
                <w:color w:val="000000"/>
                <w:sz w:val="21"/>
                <w:szCs w:val="21"/>
              </w:rPr>
              <w:t>中性点隔离开关安装、中性点避雷器安装、中性点电流互感器安装、控制柜及端子箱检查安装、软母线安装、管型母线安装</w:t>
            </w:r>
          </w:p>
        </w:tc>
      </w:tr>
      <w:tr w14:paraId="03015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09E93F4">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4CD66A49">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4F6717BC">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5734E2A9">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p>
        </w:tc>
        <w:tc>
          <w:tcPr>
            <w:tcW w:w="709" w:type="dxa"/>
            <w:vAlign w:val="center"/>
          </w:tcPr>
          <w:p w14:paraId="2C1A91D1">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ascii="宋体" w:hAnsi="宋体" w:cs="宋体"/>
                <w:color w:val="000000"/>
                <w:kern w:val="0"/>
                <w:sz w:val="21"/>
                <w:szCs w:val="21"/>
              </w:rPr>
              <w:t>10</w:t>
            </w:r>
          </w:p>
        </w:tc>
        <w:tc>
          <w:tcPr>
            <w:tcW w:w="2877" w:type="dxa"/>
            <w:vAlign w:val="center"/>
          </w:tcPr>
          <w:p w14:paraId="7680D673">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hint="eastAsia" w:ascii="宋体" w:hAnsi="宋体"/>
                <w:color w:val="000000"/>
                <w:sz w:val="21"/>
                <w:szCs w:val="21"/>
              </w:rPr>
              <w:t>主变压器带电试运</w:t>
            </w:r>
          </w:p>
        </w:tc>
        <w:tc>
          <w:tcPr>
            <w:tcW w:w="6108" w:type="dxa"/>
            <w:vAlign w:val="center"/>
          </w:tcPr>
          <w:p w14:paraId="6EC2C827">
            <w:pPr>
              <w:widowControl/>
              <w:numPr>
                <w:ilvl w:val="0"/>
                <w:numId w:val="0"/>
              </w:numPr>
              <w:tabs>
                <w:tab w:val="left" w:pos="360"/>
              </w:tabs>
              <w:spacing w:line="240" w:lineRule="auto"/>
              <w:ind w:left="0" w:firstLine="0"/>
              <w:jc w:val="left"/>
              <w:textAlignment w:val="center"/>
              <w:rPr>
                <w:rFonts w:ascii="宋体" w:hAnsi="宋体" w:cs="宋体"/>
                <w:color w:val="000000"/>
                <w:sz w:val="21"/>
                <w:szCs w:val="21"/>
              </w:rPr>
            </w:pPr>
          </w:p>
        </w:tc>
      </w:tr>
      <w:tr w14:paraId="63229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F387423">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3DF94A44">
            <w:pPr>
              <w:numPr>
                <w:ilvl w:val="0"/>
                <w:numId w:val="0"/>
              </w:numPr>
              <w:tabs>
                <w:tab w:val="left" w:pos="360"/>
              </w:tabs>
              <w:spacing w:line="240" w:lineRule="auto"/>
              <w:ind w:left="0" w:firstLine="0"/>
              <w:jc w:val="center"/>
              <w:rPr>
                <w:rFonts w:ascii="宋体"/>
                <w:sz w:val="21"/>
                <w:szCs w:val="21"/>
              </w:rPr>
            </w:pPr>
          </w:p>
        </w:tc>
        <w:tc>
          <w:tcPr>
            <w:tcW w:w="709" w:type="dxa"/>
            <w:vMerge w:val="restart"/>
            <w:vAlign w:val="center"/>
          </w:tcPr>
          <w:p w14:paraId="2E71AFE9">
            <w:pPr>
              <w:numPr>
                <w:ilvl w:val="0"/>
                <w:numId w:val="0"/>
              </w:numPr>
              <w:tabs>
                <w:tab w:val="left" w:pos="360"/>
              </w:tabs>
              <w:spacing w:line="240" w:lineRule="auto"/>
              <w:ind w:left="0" w:firstLine="0"/>
              <w:jc w:val="center"/>
              <w:rPr>
                <w:rFonts w:ascii="宋体"/>
                <w:sz w:val="21"/>
                <w:szCs w:val="21"/>
              </w:rPr>
            </w:pPr>
            <w:r>
              <w:rPr>
                <w:rFonts w:ascii="宋体"/>
                <w:sz w:val="21"/>
                <w:szCs w:val="21"/>
              </w:rPr>
              <w:t>02</w:t>
            </w:r>
          </w:p>
        </w:tc>
        <w:tc>
          <w:tcPr>
            <w:tcW w:w="1843" w:type="dxa"/>
            <w:vMerge w:val="restart"/>
            <w:vAlign w:val="center"/>
          </w:tcPr>
          <w:p w14:paraId="61504ED8">
            <w:pPr>
              <w:widowControl/>
              <w:numPr>
                <w:ilvl w:val="0"/>
                <w:numId w:val="0"/>
              </w:numPr>
              <w:tabs>
                <w:tab w:val="left" w:pos="360"/>
              </w:tabs>
              <w:spacing w:line="240" w:lineRule="auto"/>
              <w:ind w:left="0" w:firstLine="0"/>
              <w:jc w:val="center"/>
              <w:textAlignment w:val="center"/>
              <w:rPr>
                <w:rFonts w:ascii="宋体" w:hAnsi="宋体" w:cs="宋体"/>
                <w:color w:val="000000"/>
                <w:sz w:val="21"/>
                <w:szCs w:val="21"/>
              </w:rPr>
            </w:pPr>
            <w:r>
              <w:rPr>
                <w:rFonts w:hint="eastAsia" w:ascii="宋体" w:hAnsi="宋体" w:cs="宋体"/>
                <w:color w:val="000000"/>
                <w:kern w:val="0"/>
                <w:sz w:val="21"/>
                <w:szCs w:val="21"/>
              </w:rPr>
              <w:t>主控及直流设备安装</w:t>
            </w:r>
          </w:p>
        </w:tc>
        <w:tc>
          <w:tcPr>
            <w:tcW w:w="709" w:type="dxa"/>
            <w:vAlign w:val="center"/>
          </w:tcPr>
          <w:p w14:paraId="255D99FD">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2877" w:type="dxa"/>
            <w:vAlign w:val="center"/>
          </w:tcPr>
          <w:p w14:paraId="212549C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olor w:val="000000"/>
                <w:sz w:val="21"/>
                <w:szCs w:val="21"/>
              </w:rPr>
              <w:t>主控室设备安装</w:t>
            </w:r>
          </w:p>
        </w:tc>
        <w:tc>
          <w:tcPr>
            <w:tcW w:w="6108" w:type="dxa"/>
            <w:vAlign w:val="center"/>
          </w:tcPr>
          <w:p w14:paraId="14B3BC92">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olor w:val="000000"/>
                <w:sz w:val="21"/>
                <w:szCs w:val="21"/>
              </w:rPr>
              <w:t>控制及保护和自动化屏安装、直流屏及不间断电源设备安装、二次回路检查及接线</w:t>
            </w:r>
          </w:p>
        </w:tc>
      </w:tr>
      <w:tr w14:paraId="35B1F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7714656">
            <w:pPr>
              <w:numPr>
                <w:ilvl w:val="0"/>
                <w:numId w:val="2"/>
              </w:numPr>
              <w:tabs>
                <w:tab w:val="left" w:pos="360"/>
              </w:tabs>
              <w:spacing w:line="240" w:lineRule="auto"/>
              <w:ind w:left="0" w:firstLine="0"/>
              <w:jc w:val="center"/>
              <w:rPr>
                <w:rFonts w:ascii="宋体"/>
                <w:sz w:val="21"/>
                <w:szCs w:val="21"/>
              </w:rPr>
            </w:pPr>
          </w:p>
        </w:tc>
        <w:tc>
          <w:tcPr>
            <w:tcW w:w="1233" w:type="dxa"/>
            <w:vMerge w:val="continue"/>
            <w:vAlign w:val="center"/>
          </w:tcPr>
          <w:p w14:paraId="70CFD527">
            <w:pPr>
              <w:numPr>
                <w:ilvl w:val="0"/>
                <w:numId w:val="2"/>
              </w:numPr>
              <w:tabs>
                <w:tab w:val="left" w:pos="360"/>
              </w:tabs>
              <w:spacing w:line="240" w:lineRule="auto"/>
              <w:ind w:left="0" w:firstLine="0"/>
              <w:jc w:val="center"/>
              <w:rPr>
                <w:rFonts w:ascii="宋体"/>
                <w:sz w:val="21"/>
                <w:szCs w:val="21"/>
              </w:rPr>
            </w:pPr>
          </w:p>
        </w:tc>
        <w:tc>
          <w:tcPr>
            <w:tcW w:w="709" w:type="dxa"/>
            <w:vMerge w:val="continue"/>
            <w:vAlign w:val="center"/>
          </w:tcPr>
          <w:p w14:paraId="70F30731">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4985EEB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0C8F4C4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2877" w:type="dxa"/>
            <w:vAlign w:val="center"/>
          </w:tcPr>
          <w:p w14:paraId="62279FAB">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olor w:val="000000"/>
                <w:sz w:val="21"/>
                <w:szCs w:val="21"/>
              </w:rPr>
              <w:t>蓄电池组安装</w:t>
            </w:r>
          </w:p>
        </w:tc>
        <w:tc>
          <w:tcPr>
            <w:tcW w:w="6108" w:type="dxa"/>
            <w:vAlign w:val="center"/>
          </w:tcPr>
          <w:p w14:paraId="09BE57EB">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olor w:val="000000"/>
                <w:sz w:val="21"/>
                <w:szCs w:val="21"/>
              </w:rPr>
              <w:t>蓄电池安装、充放电及容量测定</w:t>
            </w:r>
          </w:p>
        </w:tc>
      </w:tr>
      <w:tr w14:paraId="145C1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9F4CE7A">
            <w:pPr>
              <w:numPr>
                <w:ilvl w:val="0"/>
                <w:numId w:val="2"/>
              </w:numPr>
              <w:tabs>
                <w:tab w:val="left" w:pos="360"/>
              </w:tabs>
              <w:spacing w:line="240" w:lineRule="auto"/>
              <w:ind w:left="0" w:firstLine="0"/>
              <w:jc w:val="center"/>
              <w:rPr>
                <w:rFonts w:ascii="宋体"/>
                <w:sz w:val="21"/>
                <w:szCs w:val="21"/>
              </w:rPr>
            </w:pPr>
          </w:p>
        </w:tc>
        <w:tc>
          <w:tcPr>
            <w:tcW w:w="1233" w:type="dxa"/>
            <w:vMerge w:val="continue"/>
            <w:vAlign w:val="center"/>
          </w:tcPr>
          <w:p w14:paraId="16F793AA">
            <w:pPr>
              <w:numPr>
                <w:ilvl w:val="0"/>
                <w:numId w:val="2"/>
              </w:numPr>
              <w:tabs>
                <w:tab w:val="left" w:pos="360"/>
              </w:tabs>
              <w:spacing w:line="240" w:lineRule="auto"/>
              <w:ind w:left="0" w:firstLine="0"/>
              <w:jc w:val="center"/>
              <w:rPr>
                <w:rFonts w:ascii="宋体"/>
                <w:sz w:val="21"/>
                <w:szCs w:val="21"/>
              </w:rPr>
            </w:pPr>
          </w:p>
        </w:tc>
        <w:tc>
          <w:tcPr>
            <w:tcW w:w="709" w:type="dxa"/>
            <w:vMerge w:val="restart"/>
            <w:vAlign w:val="center"/>
          </w:tcPr>
          <w:p w14:paraId="52EC597D">
            <w:pPr>
              <w:numPr>
                <w:ilvl w:val="0"/>
                <w:numId w:val="0"/>
              </w:numPr>
              <w:tabs>
                <w:tab w:val="left" w:pos="360"/>
              </w:tabs>
              <w:spacing w:line="240" w:lineRule="auto"/>
              <w:ind w:left="0" w:firstLine="0"/>
              <w:jc w:val="center"/>
              <w:rPr>
                <w:rFonts w:ascii="宋体"/>
                <w:sz w:val="21"/>
                <w:szCs w:val="21"/>
              </w:rPr>
            </w:pPr>
            <w:r>
              <w:rPr>
                <w:rFonts w:ascii="宋体"/>
                <w:sz w:val="21"/>
                <w:szCs w:val="21"/>
              </w:rPr>
              <w:t>03</w:t>
            </w:r>
          </w:p>
        </w:tc>
        <w:tc>
          <w:tcPr>
            <w:tcW w:w="1843" w:type="dxa"/>
            <w:vMerge w:val="restart"/>
            <w:vAlign w:val="center"/>
          </w:tcPr>
          <w:p w14:paraId="3BC69292">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sz w:val="21"/>
                <w:szCs w:val="21"/>
              </w:rPr>
              <w:t>XXXkV配电装置安装</w:t>
            </w:r>
          </w:p>
        </w:tc>
        <w:tc>
          <w:tcPr>
            <w:tcW w:w="709" w:type="dxa"/>
            <w:vAlign w:val="center"/>
          </w:tcPr>
          <w:p w14:paraId="48AE622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2877" w:type="dxa"/>
            <w:vAlign w:val="center"/>
          </w:tcPr>
          <w:p w14:paraId="2FC1FE3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sz w:val="21"/>
                <w:szCs w:val="21"/>
              </w:rPr>
              <w:t>主母线及旁路母线安装</w:t>
            </w:r>
          </w:p>
        </w:tc>
        <w:tc>
          <w:tcPr>
            <w:tcW w:w="6108" w:type="dxa"/>
            <w:vAlign w:val="center"/>
          </w:tcPr>
          <w:p w14:paraId="1B8DFD5B">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olor w:val="000000"/>
                <w:sz w:val="21"/>
                <w:szCs w:val="21"/>
              </w:rPr>
              <w:t>绝缘子串安装、软母线安装、支柱绝缘子安装、管型母线安装、接地开关安装</w:t>
            </w:r>
          </w:p>
        </w:tc>
      </w:tr>
      <w:tr w14:paraId="2E357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 w:hRule="atLeast"/>
        </w:trPr>
        <w:tc>
          <w:tcPr>
            <w:tcW w:w="534" w:type="dxa"/>
            <w:vMerge w:val="continue"/>
            <w:vAlign w:val="center"/>
          </w:tcPr>
          <w:p w14:paraId="7C95FAD1">
            <w:pPr>
              <w:numPr>
                <w:ilvl w:val="0"/>
                <w:numId w:val="2"/>
              </w:numPr>
              <w:tabs>
                <w:tab w:val="left" w:pos="360"/>
              </w:tabs>
              <w:spacing w:line="240" w:lineRule="auto"/>
              <w:ind w:left="0" w:firstLine="0"/>
              <w:jc w:val="center"/>
              <w:rPr>
                <w:rFonts w:ascii="宋体"/>
                <w:sz w:val="21"/>
                <w:szCs w:val="21"/>
              </w:rPr>
            </w:pPr>
          </w:p>
        </w:tc>
        <w:tc>
          <w:tcPr>
            <w:tcW w:w="1233" w:type="dxa"/>
            <w:vMerge w:val="continue"/>
            <w:vAlign w:val="center"/>
          </w:tcPr>
          <w:p w14:paraId="56ED79DE">
            <w:pPr>
              <w:numPr>
                <w:ilvl w:val="0"/>
                <w:numId w:val="2"/>
              </w:numPr>
              <w:tabs>
                <w:tab w:val="left" w:pos="360"/>
              </w:tabs>
              <w:spacing w:line="240" w:lineRule="auto"/>
              <w:ind w:left="0" w:firstLine="0"/>
              <w:jc w:val="center"/>
              <w:rPr>
                <w:rFonts w:ascii="宋体"/>
                <w:sz w:val="21"/>
                <w:szCs w:val="21"/>
              </w:rPr>
            </w:pPr>
          </w:p>
        </w:tc>
        <w:tc>
          <w:tcPr>
            <w:tcW w:w="709" w:type="dxa"/>
            <w:vMerge w:val="continue"/>
            <w:vAlign w:val="center"/>
          </w:tcPr>
          <w:p w14:paraId="01B509E7">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111CC96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7A02D15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2877" w:type="dxa"/>
            <w:vAlign w:val="center"/>
          </w:tcPr>
          <w:p w14:paraId="20DFC3A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sz w:val="21"/>
                <w:szCs w:val="21"/>
              </w:rPr>
              <w:t>电压互感器及避雷器安装</w:t>
            </w:r>
          </w:p>
        </w:tc>
        <w:tc>
          <w:tcPr>
            <w:tcW w:w="6108" w:type="dxa"/>
            <w:vAlign w:val="center"/>
          </w:tcPr>
          <w:p w14:paraId="3A3646EE">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sz w:val="21"/>
                <w:szCs w:val="21"/>
              </w:rPr>
              <w:t>避雷器安装、</w:t>
            </w:r>
            <w:r>
              <w:rPr>
                <w:rFonts w:hint="eastAsia" w:ascii="宋体" w:hAnsi="宋体"/>
                <w:color w:val="000000"/>
                <w:sz w:val="21"/>
                <w:szCs w:val="21"/>
              </w:rPr>
              <w:t>电压互感器安装、隔离开关及接地开关安装、支柱绝缘子安装、软母线安装、箱柜安装</w:t>
            </w:r>
          </w:p>
        </w:tc>
      </w:tr>
      <w:tr w14:paraId="5C963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D889E7B">
            <w:pPr>
              <w:numPr>
                <w:ilvl w:val="0"/>
                <w:numId w:val="2"/>
              </w:numPr>
              <w:tabs>
                <w:tab w:val="left" w:pos="360"/>
              </w:tabs>
              <w:spacing w:line="240" w:lineRule="auto"/>
              <w:ind w:left="0" w:firstLine="0"/>
              <w:jc w:val="center"/>
              <w:rPr>
                <w:rFonts w:ascii="宋体"/>
                <w:sz w:val="21"/>
                <w:szCs w:val="21"/>
              </w:rPr>
            </w:pPr>
          </w:p>
        </w:tc>
        <w:tc>
          <w:tcPr>
            <w:tcW w:w="1233" w:type="dxa"/>
            <w:vMerge w:val="continue"/>
            <w:vAlign w:val="center"/>
          </w:tcPr>
          <w:p w14:paraId="09CED1BC">
            <w:pPr>
              <w:numPr>
                <w:ilvl w:val="0"/>
                <w:numId w:val="2"/>
              </w:numPr>
              <w:tabs>
                <w:tab w:val="left" w:pos="360"/>
              </w:tabs>
              <w:spacing w:line="240" w:lineRule="auto"/>
              <w:ind w:left="0" w:firstLine="0"/>
              <w:jc w:val="center"/>
              <w:rPr>
                <w:rFonts w:ascii="宋体"/>
                <w:sz w:val="21"/>
                <w:szCs w:val="21"/>
              </w:rPr>
            </w:pPr>
          </w:p>
        </w:tc>
        <w:tc>
          <w:tcPr>
            <w:tcW w:w="709" w:type="dxa"/>
            <w:vMerge w:val="continue"/>
            <w:vAlign w:val="center"/>
          </w:tcPr>
          <w:p w14:paraId="1065AF8C">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1C21F83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022C38F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03</w:t>
            </w:r>
          </w:p>
        </w:tc>
        <w:tc>
          <w:tcPr>
            <w:tcW w:w="2877" w:type="dxa"/>
            <w:vAlign w:val="center"/>
          </w:tcPr>
          <w:p w14:paraId="76C97EB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sz w:val="21"/>
                <w:szCs w:val="21"/>
              </w:rPr>
              <w:t>进出线（母联、分段及旁路）间隔安装</w:t>
            </w:r>
          </w:p>
        </w:tc>
        <w:tc>
          <w:tcPr>
            <w:tcW w:w="6108" w:type="dxa"/>
            <w:vAlign w:val="center"/>
          </w:tcPr>
          <w:p w14:paraId="5E7963B9">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olor w:val="000000"/>
                <w:sz w:val="21"/>
                <w:szCs w:val="21"/>
              </w:rPr>
              <w:t>隔离开关安装、断路器安装、互感器安装、</w:t>
            </w:r>
            <w:r>
              <w:rPr>
                <w:rFonts w:hint="eastAsia" w:ascii="宋体"/>
                <w:sz w:val="21"/>
                <w:szCs w:val="21"/>
              </w:rPr>
              <w:t>避雷器安装、穿墙套管安装、</w:t>
            </w:r>
            <w:r>
              <w:rPr>
                <w:rFonts w:hint="eastAsia" w:ascii="宋体" w:hAnsi="宋体"/>
                <w:color w:val="000000"/>
                <w:sz w:val="21"/>
                <w:szCs w:val="21"/>
              </w:rPr>
              <w:t>支柱绝缘子安装、软母线安装、就地控制设备安装</w:t>
            </w:r>
          </w:p>
        </w:tc>
      </w:tr>
      <w:tr w14:paraId="4CA09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BB476BC">
            <w:pPr>
              <w:numPr>
                <w:ilvl w:val="0"/>
                <w:numId w:val="2"/>
              </w:numPr>
              <w:tabs>
                <w:tab w:val="left" w:pos="360"/>
              </w:tabs>
              <w:spacing w:line="240" w:lineRule="auto"/>
              <w:ind w:left="0" w:firstLine="0"/>
              <w:jc w:val="center"/>
              <w:rPr>
                <w:rFonts w:ascii="宋体"/>
                <w:sz w:val="21"/>
                <w:szCs w:val="21"/>
              </w:rPr>
            </w:pPr>
          </w:p>
        </w:tc>
        <w:tc>
          <w:tcPr>
            <w:tcW w:w="1233" w:type="dxa"/>
            <w:vMerge w:val="continue"/>
            <w:vAlign w:val="center"/>
          </w:tcPr>
          <w:p w14:paraId="1535FFAC">
            <w:pPr>
              <w:numPr>
                <w:ilvl w:val="0"/>
                <w:numId w:val="2"/>
              </w:numPr>
              <w:tabs>
                <w:tab w:val="left" w:pos="360"/>
              </w:tabs>
              <w:spacing w:line="240" w:lineRule="auto"/>
              <w:ind w:left="0" w:firstLine="0"/>
              <w:jc w:val="center"/>
              <w:rPr>
                <w:rFonts w:ascii="宋体"/>
                <w:sz w:val="21"/>
                <w:szCs w:val="21"/>
              </w:rPr>
            </w:pPr>
          </w:p>
        </w:tc>
        <w:tc>
          <w:tcPr>
            <w:tcW w:w="709" w:type="dxa"/>
            <w:vMerge w:val="continue"/>
            <w:vAlign w:val="center"/>
          </w:tcPr>
          <w:p w14:paraId="51ACB5B3">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775053E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5B9970C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04</w:t>
            </w:r>
          </w:p>
        </w:tc>
        <w:tc>
          <w:tcPr>
            <w:tcW w:w="2877" w:type="dxa"/>
            <w:vAlign w:val="center"/>
          </w:tcPr>
          <w:p w14:paraId="5F966CB3">
            <w:pPr>
              <w:widowControl/>
              <w:numPr>
                <w:ilvl w:val="0"/>
                <w:numId w:val="0"/>
              </w:numPr>
              <w:tabs>
                <w:tab w:val="left" w:pos="360"/>
              </w:tabs>
              <w:spacing w:line="240" w:lineRule="auto"/>
              <w:ind w:left="0" w:firstLine="0"/>
              <w:jc w:val="center"/>
              <w:textAlignment w:val="center"/>
              <w:rPr>
                <w:rFonts w:ascii="宋体"/>
                <w:sz w:val="21"/>
                <w:szCs w:val="21"/>
              </w:rPr>
            </w:pPr>
            <w:r>
              <w:rPr>
                <w:rFonts w:hint="eastAsia" w:ascii="宋体"/>
                <w:sz w:val="21"/>
                <w:szCs w:val="21"/>
              </w:rPr>
              <w:t>支（吊）架及保护围栏安装</w:t>
            </w:r>
          </w:p>
        </w:tc>
        <w:tc>
          <w:tcPr>
            <w:tcW w:w="6108" w:type="dxa"/>
            <w:vAlign w:val="center"/>
          </w:tcPr>
          <w:p w14:paraId="7B63C2F8">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r>
              <w:rPr>
                <w:rFonts w:hint="eastAsia" w:ascii="宋体"/>
                <w:sz w:val="21"/>
                <w:szCs w:val="21"/>
              </w:rPr>
              <w:t>支（吊）架安装、保护网栏安装</w:t>
            </w:r>
          </w:p>
        </w:tc>
      </w:tr>
      <w:tr w14:paraId="6BDF2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2992B70">
            <w:pPr>
              <w:numPr>
                <w:ilvl w:val="0"/>
                <w:numId w:val="2"/>
              </w:numPr>
              <w:tabs>
                <w:tab w:val="left" w:pos="360"/>
              </w:tabs>
              <w:spacing w:line="240" w:lineRule="auto"/>
              <w:ind w:left="0" w:firstLine="0"/>
              <w:jc w:val="center"/>
              <w:rPr>
                <w:rFonts w:ascii="宋体"/>
                <w:sz w:val="21"/>
                <w:szCs w:val="21"/>
              </w:rPr>
            </w:pPr>
          </w:p>
        </w:tc>
        <w:tc>
          <w:tcPr>
            <w:tcW w:w="1233" w:type="dxa"/>
            <w:vMerge w:val="continue"/>
            <w:vAlign w:val="center"/>
          </w:tcPr>
          <w:p w14:paraId="283C59DC">
            <w:pPr>
              <w:numPr>
                <w:ilvl w:val="0"/>
                <w:numId w:val="2"/>
              </w:numPr>
              <w:tabs>
                <w:tab w:val="left" w:pos="360"/>
              </w:tabs>
              <w:spacing w:line="240" w:lineRule="auto"/>
              <w:ind w:left="0" w:firstLine="0"/>
              <w:jc w:val="center"/>
              <w:rPr>
                <w:rFonts w:ascii="宋体"/>
                <w:sz w:val="21"/>
                <w:szCs w:val="21"/>
              </w:rPr>
            </w:pPr>
          </w:p>
        </w:tc>
        <w:tc>
          <w:tcPr>
            <w:tcW w:w="709" w:type="dxa"/>
            <w:vMerge w:val="continue"/>
            <w:vAlign w:val="center"/>
          </w:tcPr>
          <w:p w14:paraId="31B853F7">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38B4CF2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233BCB7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10.1</w:t>
            </w:r>
          </w:p>
        </w:tc>
        <w:tc>
          <w:tcPr>
            <w:tcW w:w="2877" w:type="dxa"/>
            <w:vAlign w:val="center"/>
          </w:tcPr>
          <w:p w14:paraId="68CF7B23">
            <w:pPr>
              <w:widowControl/>
              <w:numPr>
                <w:ilvl w:val="0"/>
                <w:numId w:val="0"/>
              </w:numPr>
              <w:tabs>
                <w:tab w:val="left" w:pos="360"/>
              </w:tabs>
              <w:spacing w:line="240" w:lineRule="auto"/>
              <w:ind w:left="0" w:firstLine="0"/>
              <w:jc w:val="center"/>
              <w:textAlignment w:val="center"/>
              <w:rPr>
                <w:rFonts w:ascii="宋体"/>
                <w:sz w:val="21"/>
                <w:szCs w:val="21"/>
              </w:rPr>
            </w:pPr>
            <w:r>
              <w:rPr>
                <w:rFonts w:hint="eastAsia" w:ascii="宋体"/>
                <w:sz w:val="21"/>
                <w:szCs w:val="21"/>
              </w:rPr>
              <w:t>XXXkV配电装置带电试运</w:t>
            </w:r>
          </w:p>
        </w:tc>
        <w:tc>
          <w:tcPr>
            <w:tcW w:w="6108" w:type="dxa"/>
            <w:vAlign w:val="center"/>
          </w:tcPr>
          <w:p w14:paraId="7FE7F91E">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p>
        </w:tc>
      </w:tr>
      <w:tr w14:paraId="6DC72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4AFCFF51">
            <w:pPr>
              <w:numPr>
                <w:ilvl w:val="0"/>
                <w:numId w:val="2"/>
              </w:numPr>
              <w:tabs>
                <w:tab w:val="left" w:pos="360"/>
              </w:tabs>
              <w:spacing w:line="240" w:lineRule="auto"/>
              <w:ind w:left="0" w:firstLine="0"/>
              <w:jc w:val="center"/>
              <w:rPr>
                <w:rFonts w:ascii="宋体"/>
                <w:sz w:val="21"/>
                <w:szCs w:val="21"/>
              </w:rPr>
            </w:pPr>
          </w:p>
        </w:tc>
        <w:tc>
          <w:tcPr>
            <w:tcW w:w="1233" w:type="dxa"/>
            <w:vMerge w:val="continue"/>
            <w:vAlign w:val="center"/>
          </w:tcPr>
          <w:p w14:paraId="00558878">
            <w:pPr>
              <w:numPr>
                <w:ilvl w:val="0"/>
                <w:numId w:val="2"/>
              </w:numPr>
              <w:tabs>
                <w:tab w:val="left" w:pos="360"/>
              </w:tabs>
              <w:spacing w:line="240" w:lineRule="auto"/>
              <w:ind w:left="0" w:firstLine="0"/>
              <w:jc w:val="center"/>
              <w:rPr>
                <w:rFonts w:ascii="宋体"/>
                <w:sz w:val="21"/>
                <w:szCs w:val="21"/>
              </w:rPr>
            </w:pPr>
          </w:p>
        </w:tc>
        <w:tc>
          <w:tcPr>
            <w:tcW w:w="709" w:type="dxa"/>
            <w:vMerge w:val="restart"/>
            <w:vAlign w:val="center"/>
          </w:tcPr>
          <w:p w14:paraId="36C6FCB2">
            <w:pPr>
              <w:numPr>
                <w:ilvl w:val="0"/>
                <w:numId w:val="0"/>
              </w:numPr>
              <w:tabs>
                <w:tab w:val="left" w:pos="360"/>
              </w:tabs>
              <w:spacing w:line="240" w:lineRule="auto"/>
              <w:ind w:left="0" w:firstLine="0"/>
              <w:jc w:val="center"/>
              <w:rPr>
                <w:rFonts w:ascii="宋体"/>
                <w:sz w:val="21"/>
                <w:szCs w:val="21"/>
              </w:rPr>
            </w:pPr>
            <w:r>
              <w:rPr>
                <w:rFonts w:ascii="宋体"/>
                <w:sz w:val="21"/>
                <w:szCs w:val="21"/>
              </w:rPr>
              <w:t>04</w:t>
            </w:r>
          </w:p>
        </w:tc>
        <w:tc>
          <w:tcPr>
            <w:tcW w:w="1843" w:type="dxa"/>
            <w:vMerge w:val="restart"/>
            <w:vAlign w:val="center"/>
          </w:tcPr>
          <w:p w14:paraId="7178C82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olor w:val="000000"/>
                <w:sz w:val="21"/>
                <w:szCs w:val="21"/>
              </w:rPr>
              <w:t>XXXkV气体绝缘金属封闭式开关设备安装</w:t>
            </w:r>
          </w:p>
        </w:tc>
        <w:tc>
          <w:tcPr>
            <w:tcW w:w="709" w:type="dxa"/>
            <w:vAlign w:val="center"/>
          </w:tcPr>
          <w:p w14:paraId="738C5AC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2877" w:type="dxa"/>
            <w:vAlign w:val="center"/>
          </w:tcPr>
          <w:p w14:paraId="019732C0">
            <w:pPr>
              <w:widowControl/>
              <w:numPr>
                <w:ilvl w:val="0"/>
                <w:numId w:val="0"/>
              </w:numPr>
              <w:tabs>
                <w:tab w:val="left" w:pos="360"/>
              </w:tabs>
              <w:spacing w:line="240" w:lineRule="auto"/>
              <w:ind w:left="0" w:firstLine="0"/>
              <w:jc w:val="center"/>
              <w:textAlignment w:val="center"/>
              <w:rPr>
                <w:rFonts w:ascii="宋体"/>
                <w:sz w:val="21"/>
                <w:szCs w:val="21"/>
              </w:rPr>
            </w:pPr>
            <w:r>
              <w:rPr>
                <w:rFonts w:hint="eastAsia" w:ascii="宋体" w:hAnsi="宋体"/>
                <w:color w:val="000000"/>
                <w:sz w:val="21"/>
                <w:szCs w:val="21"/>
              </w:rPr>
              <w:t>气体绝缘金属封闭式开关设备安装</w:t>
            </w:r>
          </w:p>
        </w:tc>
        <w:tc>
          <w:tcPr>
            <w:tcW w:w="6108" w:type="dxa"/>
            <w:vAlign w:val="center"/>
          </w:tcPr>
          <w:p w14:paraId="30342CE6">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r>
              <w:rPr>
                <w:rFonts w:hint="eastAsia" w:ascii="宋体" w:hAnsi="宋体"/>
                <w:color w:val="000000"/>
                <w:sz w:val="21"/>
                <w:szCs w:val="21"/>
              </w:rPr>
              <w:t>基础检查及设备支架安装、气体绝缘金属封闭式开关设备本体安装、互感器安装、避雷器安装</w:t>
            </w:r>
          </w:p>
        </w:tc>
      </w:tr>
      <w:tr w14:paraId="464B9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2FB2F4B">
            <w:pPr>
              <w:numPr>
                <w:ilvl w:val="0"/>
                <w:numId w:val="2"/>
              </w:numPr>
              <w:tabs>
                <w:tab w:val="left" w:pos="360"/>
              </w:tabs>
              <w:spacing w:line="240" w:lineRule="auto"/>
              <w:ind w:left="0" w:firstLine="0"/>
              <w:jc w:val="center"/>
              <w:rPr>
                <w:rFonts w:ascii="宋体"/>
                <w:sz w:val="21"/>
                <w:szCs w:val="21"/>
              </w:rPr>
            </w:pPr>
          </w:p>
        </w:tc>
        <w:tc>
          <w:tcPr>
            <w:tcW w:w="1233" w:type="dxa"/>
            <w:vMerge w:val="continue"/>
            <w:vAlign w:val="center"/>
          </w:tcPr>
          <w:p w14:paraId="043D6D77">
            <w:pPr>
              <w:numPr>
                <w:ilvl w:val="0"/>
                <w:numId w:val="2"/>
              </w:numPr>
              <w:tabs>
                <w:tab w:val="left" w:pos="360"/>
              </w:tabs>
              <w:spacing w:line="240" w:lineRule="auto"/>
              <w:ind w:left="0" w:firstLine="0"/>
              <w:jc w:val="center"/>
              <w:rPr>
                <w:rFonts w:ascii="宋体"/>
                <w:sz w:val="21"/>
                <w:szCs w:val="21"/>
              </w:rPr>
            </w:pPr>
          </w:p>
        </w:tc>
        <w:tc>
          <w:tcPr>
            <w:tcW w:w="709" w:type="dxa"/>
            <w:vMerge w:val="continue"/>
            <w:vAlign w:val="center"/>
          </w:tcPr>
          <w:p w14:paraId="18F09B71">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072789B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0C1BA34D">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2877" w:type="dxa"/>
            <w:vAlign w:val="center"/>
          </w:tcPr>
          <w:p w14:paraId="0D790D56">
            <w:pPr>
              <w:widowControl/>
              <w:numPr>
                <w:ilvl w:val="0"/>
                <w:numId w:val="0"/>
              </w:numPr>
              <w:tabs>
                <w:tab w:val="left" w:pos="360"/>
              </w:tabs>
              <w:spacing w:line="240" w:lineRule="auto"/>
              <w:ind w:left="0" w:firstLine="0"/>
              <w:jc w:val="center"/>
              <w:textAlignment w:val="center"/>
              <w:rPr>
                <w:rFonts w:ascii="宋体" w:hAnsi="宋体"/>
                <w:color w:val="000000"/>
                <w:sz w:val="21"/>
                <w:szCs w:val="21"/>
              </w:rPr>
            </w:pPr>
            <w:r>
              <w:rPr>
                <w:rFonts w:hint="eastAsia" w:ascii="宋体" w:hAnsi="宋体"/>
                <w:color w:val="000000"/>
                <w:sz w:val="21"/>
                <w:szCs w:val="21"/>
              </w:rPr>
              <w:t>配套设备安装</w:t>
            </w:r>
          </w:p>
        </w:tc>
        <w:tc>
          <w:tcPr>
            <w:tcW w:w="6108" w:type="dxa"/>
            <w:vAlign w:val="center"/>
          </w:tcPr>
          <w:p w14:paraId="0009A371">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r>
              <w:rPr>
                <w:rFonts w:hint="eastAsia" w:ascii="宋体" w:hAnsi="宋体"/>
                <w:color w:val="000000"/>
                <w:sz w:val="21"/>
                <w:szCs w:val="21"/>
              </w:rPr>
              <w:t>电压（流）互感器安装、避雷器安装、软母线安装</w:t>
            </w:r>
          </w:p>
        </w:tc>
      </w:tr>
      <w:tr w14:paraId="64F95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2EF18EE">
            <w:pPr>
              <w:numPr>
                <w:ilvl w:val="0"/>
                <w:numId w:val="2"/>
              </w:numPr>
              <w:tabs>
                <w:tab w:val="left" w:pos="360"/>
              </w:tabs>
              <w:spacing w:line="240" w:lineRule="auto"/>
              <w:ind w:left="0" w:firstLine="0"/>
              <w:jc w:val="center"/>
              <w:rPr>
                <w:rFonts w:ascii="宋体"/>
                <w:sz w:val="21"/>
                <w:szCs w:val="21"/>
              </w:rPr>
            </w:pPr>
          </w:p>
        </w:tc>
        <w:tc>
          <w:tcPr>
            <w:tcW w:w="1233" w:type="dxa"/>
            <w:vMerge w:val="continue"/>
            <w:vAlign w:val="center"/>
          </w:tcPr>
          <w:p w14:paraId="5D739DCC">
            <w:pPr>
              <w:numPr>
                <w:ilvl w:val="0"/>
                <w:numId w:val="2"/>
              </w:numPr>
              <w:tabs>
                <w:tab w:val="left" w:pos="360"/>
              </w:tabs>
              <w:spacing w:line="240" w:lineRule="auto"/>
              <w:ind w:left="0" w:firstLine="0"/>
              <w:jc w:val="center"/>
              <w:rPr>
                <w:rFonts w:ascii="宋体"/>
                <w:sz w:val="21"/>
                <w:szCs w:val="21"/>
              </w:rPr>
            </w:pPr>
          </w:p>
        </w:tc>
        <w:tc>
          <w:tcPr>
            <w:tcW w:w="709" w:type="dxa"/>
            <w:vMerge w:val="continue"/>
            <w:vAlign w:val="center"/>
          </w:tcPr>
          <w:p w14:paraId="41A7CDEA">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7F62B37D">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1F80D123">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03</w:t>
            </w:r>
          </w:p>
        </w:tc>
        <w:tc>
          <w:tcPr>
            <w:tcW w:w="2877" w:type="dxa"/>
            <w:vAlign w:val="center"/>
          </w:tcPr>
          <w:p w14:paraId="22AF09DA">
            <w:pPr>
              <w:widowControl/>
              <w:numPr>
                <w:ilvl w:val="0"/>
                <w:numId w:val="0"/>
              </w:numPr>
              <w:tabs>
                <w:tab w:val="left" w:pos="360"/>
              </w:tabs>
              <w:spacing w:line="240" w:lineRule="auto"/>
              <w:ind w:left="0" w:firstLine="0"/>
              <w:jc w:val="center"/>
              <w:textAlignment w:val="center"/>
              <w:rPr>
                <w:rFonts w:ascii="宋体" w:hAnsi="宋体"/>
                <w:color w:val="000000"/>
                <w:sz w:val="21"/>
                <w:szCs w:val="21"/>
              </w:rPr>
            </w:pPr>
            <w:r>
              <w:rPr>
                <w:rFonts w:hint="eastAsia" w:ascii="宋体" w:hAnsi="宋体"/>
                <w:color w:val="000000"/>
                <w:sz w:val="21"/>
                <w:szCs w:val="21"/>
              </w:rPr>
              <w:t>就地控制设备安装</w:t>
            </w:r>
          </w:p>
        </w:tc>
        <w:tc>
          <w:tcPr>
            <w:tcW w:w="6108" w:type="dxa"/>
            <w:vAlign w:val="center"/>
          </w:tcPr>
          <w:p w14:paraId="41AC384A">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r>
              <w:rPr>
                <w:rFonts w:hint="eastAsia" w:ascii="宋体" w:hAnsi="宋体"/>
                <w:color w:val="000000"/>
                <w:sz w:val="21"/>
                <w:szCs w:val="21"/>
              </w:rPr>
              <w:t>控制柜及就地箱安装、二次回路检查及接线</w:t>
            </w:r>
          </w:p>
        </w:tc>
      </w:tr>
      <w:tr w14:paraId="6D753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6" w:hRule="atLeast"/>
        </w:trPr>
        <w:tc>
          <w:tcPr>
            <w:tcW w:w="534" w:type="dxa"/>
            <w:vMerge w:val="continue"/>
            <w:vAlign w:val="center"/>
          </w:tcPr>
          <w:p w14:paraId="33F6C320">
            <w:pPr>
              <w:numPr>
                <w:ilvl w:val="0"/>
                <w:numId w:val="2"/>
              </w:numPr>
              <w:tabs>
                <w:tab w:val="left" w:pos="360"/>
              </w:tabs>
              <w:spacing w:line="240" w:lineRule="auto"/>
              <w:ind w:left="0" w:firstLine="0"/>
              <w:jc w:val="center"/>
              <w:rPr>
                <w:rFonts w:ascii="宋体"/>
                <w:sz w:val="21"/>
                <w:szCs w:val="21"/>
              </w:rPr>
            </w:pPr>
          </w:p>
        </w:tc>
        <w:tc>
          <w:tcPr>
            <w:tcW w:w="1233" w:type="dxa"/>
            <w:vMerge w:val="continue"/>
            <w:vAlign w:val="center"/>
          </w:tcPr>
          <w:p w14:paraId="5A5B3438">
            <w:pPr>
              <w:numPr>
                <w:ilvl w:val="0"/>
                <w:numId w:val="2"/>
              </w:numPr>
              <w:tabs>
                <w:tab w:val="left" w:pos="360"/>
              </w:tabs>
              <w:spacing w:line="240" w:lineRule="auto"/>
              <w:ind w:left="0" w:firstLine="0"/>
              <w:jc w:val="center"/>
              <w:rPr>
                <w:rFonts w:ascii="宋体"/>
                <w:sz w:val="21"/>
                <w:szCs w:val="21"/>
              </w:rPr>
            </w:pPr>
          </w:p>
        </w:tc>
        <w:tc>
          <w:tcPr>
            <w:tcW w:w="709" w:type="dxa"/>
            <w:vMerge w:val="continue"/>
            <w:vAlign w:val="center"/>
          </w:tcPr>
          <w:p w14:paraId="1D5E3BCE">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6246D4F3">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5CDE796D">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10.1</w:t>
            </w:r>
          </w:p>
        </w:tc>
        <w:tc>
          <w:tcPr>
            <w:tcW w:w="2877" w:type="dxa"/>
            <w:vAlign w:val="center"/>
          </w:tcPr>
          <w:p w14:paraId="401D87E2">
            <w:pPr>
              <w:widowControl/>
              <w:numPr>
                <w:ilvl w:val="0"/>
                <w:numId w:val="0"/>
              </w:numPr>
              <w:tabs>
                <w:tab w:val="left" w:pos="360"/>
              </w:tabs>
              <w:spacing w:line="240" w:lineRule="auto"/>
              <w:ind w:left="0" w:firstLine="0"/>
              <w:jc w:val="center"/>
              <w:textAlignment w:val="center"/>
              <w:rPr>
                <w:rFonts w:ascii="宋体" w:hAnsi="宋体"/>
                <w:color w:val="000000"/>
                <w:sz w:val="21"/>
                <w:szCs w:val="21"/>
              </w:rPr>
            </w:pPr>
            <w:r>
              <w:rPr>
                <w:rFonts w:hint="eastAsia" w:ascii="宋体" w:hAnsi="宋体"/>
                <w:color w:val="000000"/>
                <w:sz w:val="21"/>
                <w:szCs w:val="21"/>
              </w:rPr>
              <w:t>XXXkV气体绝缘金属封闭式开关设备带电试运行</w:t>
            </w:r>
          </w:p>
        </w:tc>
        <w:tc>
          <w:tcPr>
            <w:tcW w:w="6108" w:type="dxa"/>
            <w:vAlign w:val="center"/>
          </w:tcPr>
          <w:p w14:paraId="583714B0">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p>
        </w:tc>
      </w:tr>
      <w:tr w14:paraId="024CA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tcBorders>
              <w:top w:val="single" w:color="auto" w:sz="4" w:space="0"/>
            </w:tcBorders>
            <w:vAlign w:val="center"/>
          </w:tcPr>
          <w:p w14:paraId="7F1F646A">
            <w:pPr>
              <w:numPr>
                <w:ilvl w:val="0"/>
                <w:numId w:val="0"/>
              </w:numPr>
              <w:tabs>
                <w:tab w:val="left" w:pos="360"/>
              </w:tabs>
              <w:spacing w:line="240" w:lineRule="auto"/>
              <w:ind w:left="0" w:firstLine="0"/>
              <w:jc w:val="center"/>
              <w:rPr>
                <w:rFonts w:ascii="宋体"/>
                <w:sz w:val="21"/>
                <w:szCs w:val="21"/>
              </w:rPr>
            </w:pPr>
            <w:r>
              <w:rPr>
                <w:rFonts w:ascii="宋体"/>
                <w:sz w:val="21"/>
                <w:szCs w:val="21"/>
              </w:rPr>
              <w:t>03</w:t>
            </w:r>
          </w:p>
        </w:tc>
        <w:tc>
          <w:tcPr>
            <w:tcW w:w="1233" w:type="dxa"/>
            <w:vMerge w:val="restart"/>
            <w:tcBorders>
              <w:top w:val="single" w:color="auto" w:sz="4" w:space="0"/>
            </w:tcBorders>
            <w:vAlign w:val="center"/>
          </w:tcPr>
          <w:p w14:paraId="0204EB5D">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升压站电气安装工程</w:t>
            </w:r>
          </w:p>
        </w:tc>
        <w:tc>
          <w:tcPr>
            <w:tcW w:w="709" w:type="dxa"/>
            <w:vMerge w:val="restart"/>
            <w:vAlign w:val="center"/>
          </w:tcPr>
          <w:p w14:paraId="320D238F">
            <w:pPr>
              <w:numPr>
                <w:ilvl w:val="0"/>
                <w:numId w:val="0"/>
              </w:numPr>
              <w:tabs>
                <w:tab w:val="left" w:pos="360"/>
              </w:tabs>
              <w:spacing w:line="240" w:lineRule="auto"/>
              <w:ind w:left="0" w:firstLine="0"/>
              <w:jc w:val="center"/>
              <w:rPr>
                <w:rFonts w:ascii="宋体"/>
                <w:sz w:val="21"/>
                <w:szCs w:val="21"/>
              </w:rPr>
            </w:pPr>
            <w:r>
              <w:rPr>
                <w:rFonts w:ascii="宋体"/>
                <w:sz w:val="21"/>
                <w:szCs w:val="21"/>
              </w:rPr>
              <w:t>05</w:t>
            </w:r>
          </w:p>
        </w:tc>
        <w:tc>
          <w:tcPr>
            <w:tcW w:w="1843" w:type="dxa"/>
            <w:vMerge w:val="restart"/>
            <w:vAlign w:val="center"/>
          </w:tcPr>
          <w:p w14:paraId="514895B2">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olor w:val="000000"/>
                <w:sz w:val="21"/>
                <w:szCs w:val="21"/>
              </w:rPr>
              <w:t>XXkV及站用配电装置安装</w:t>
            </w:r>
          </w:p>
        </w:tc>
        <w:tc>
          <w:tcPr>
            <w:tcW w:w="709" w:type="dxa"/>
            <w:vAlign w:val="center"/>
          </w:tcPr>
          <w:p w14:paraId="6F911DC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2877" w:type="dxa"/>
            <w:vAlign w:val="center"/>
          </w:tcPr>
          <w:p w14:paraId="31E78EC3">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sz w:val="21"/>
                <w:szCs w:val="21"/>
              </w:rPr>
              <w:t>变压器安装</w:t>
            </w:r>
          </w:p>
        </w:tc>
        <w:tc>
          <w:tcPr>
            <w:tcW w:w="6108" w:type="dxa"/>
            <w:vAlign w:val="center"/>
          </w:tcPr>
          <w:p w14:paraId="07A7AAB2">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olor w:val="000000"/>
                <w:sz w:val="21"/>
                <w:szCs w:val="21"/>
              </w:rPr>
              <w:t>变压器本体安装、变压器器身检查、变压器附件安装、变压器注油及密封试验、控制及端子箱安装、变压器整体检查</w:t>
            </w:r>
          </w:p>
        </w:tc>
      </w:tr>
      <w:tr w14:paraId="71C2B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6F9A133C">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2536D20A">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3541CE37">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6555BFB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6301E70B">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2877" w:type="dxa"/>
            <w:vAlign w:val="center"/>
          </w:tcPr>
          <w:p w14:paraId="692B1913">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olor w:val="000000"/>
                <w:sz w:val="21"/>
                <w:szCs w:val="21"/>
              </w:rPr>
              <w:t>XXkV配电柜安装</w:t>
            </w:r>
          </w:p>
        </w:tc>
        <w:tc>
          <w:tcPr>
            <w:tcW w:w="6108" w:type="dxa"/>
            <w:vAlign w:val="center"/>
          </w:tcPr>
          <w:p w14:paraId="090B33EE">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olor w:val="000000"/>
                <w:sz w:val="21"/>
                <w:szCs w:val="21"/>
              </w:rPr>
              <w:t>基础型钢安装、配电盘安装、母线安装、二次回路检查及接线</w:t>
            </w:r>
          </w:p>
        </w:tc>
      </w:tr>
      <w:tr w14:paraId="34E3B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FD643C8">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0D3EAAAC">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3C6B4E60">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48426D22">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0410ED7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03</w:t>
            </w:r>
          </w:p>
        </w:tc>
        <w:tc>
          <w:tcPr>
            <w:tcW w:w="2877" w:type="dxa"/>
            <w:vAlign w:val="center"/>
          </w:tcPr>
          <w:p w14:paraId="7089D832">
            <w:pPr>
              <w:widowControl/>
              <w:numPr>
                <w:ilvl w:val="0"/>
                <w:numId w:val="0"/>
              </w:numPr>
              <w:tabs>
                <w:tab w:val="left" w:pos="360"/>
              </w:tabs>
              <w:spacing w:line="240" w:lineRule="auto"/>
              <w:ind w:left="0" w:firstLine="0"/>
              <w:jc w:val="center"/>
              <w:textAlignment w:val="center"/>
              <w:rPr>
                <w:rFonts w:ascii="宋体" w:hAnsi="宋体"/>
                <w:color w:val="000000"/>
                <w:sz w:val="21"/>
                <w:szCs w:val="21"/>
              </w:rPr>
            </w:pPr>
            <w:r>
              <w:rPr>
                <w:rFonts w:hint="eastAsia" w:ascii="宋体" w:hAnsi="宋体"/>
                <w:color w:val="000000"/>
                <w:sz w:val="21"/>
                <w:szCs w:val="21"/>
              </w:rPr>
              <w:t>站用低压配电装置安装</w:t>
            </w:r>
          </w:p>
        </w:tc>
        <w:tc>
          <w:tcPr>
            <w:tcW w:w="6108" w:type="dxa"/>
            <w:vAlign w:val="center"/>
          </w:tcPr>
          <w:p w14:paraId="740A0A7D">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r>
              <w:rPr>
                <w:rFonts w:hint="eastAsia" w:ascii="宋体" w:hAnsi="宋体"/>
                <w:color w:val="000000"/>
                <w:sz w:val="21"/>
                <w:szCs w:val="21"/>
              </w:rPr>
              <w:t>低压变压器安装、低压盘安装、母线安装、二次回路检查接线</w:t>
            </w:r>
          </w:p>
        </w:tc>
      </w:tr>
      <w:tr w14:paraId="5D4DA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281DC9B3">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387E03B3">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4AE86301">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7FC1FA1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2A8EB41F">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10</w:t>
            </w:r>
          </w:p>
        </w:tc>
        <w:tc>
          <w:tcPr>
            <w:tcW w:w="2877" w:type="dxa"/>
            <w:vAlign w:val="center"/>
          </w:tcPr>
          <w:p w14:paraId="73B1DB3E">
            <w:pPr>
              <w:widowControl/>
              <w:numPr>
                <w:ilvl w:val="0"/>
                <w:numId w:val="0"/>
              </w:numPr>
              <w:tabs>
                <w:tab w:val="left" w:pos="360"/>
              </w:tabs>
              <w:spacing w:line="240" w:lineRule="auto"/>
              <w:ind w:left="0" w:firstLine="0"/>
              <w:jc w:val="center"/>
              <w:textAlignment w:val="center"/>
              <w:rPr>
                <w:rFonts w:ascii="宋体" w:hAnsi="宋体"/>
                <w:color w:val="000000"/>
                <w:sz w:val="21"/>
                <w:szCs w:val="21"/>
              </w:rPr>
            </w:pPr>
            <w:r>
              <w:rPr>
                <w:rFonts w:hint="eastAsia" w:ascii="宋体" w:hAnsi="宋体"/>
                <w:color w:val="000000"/>
                <w:sz w:val="21"/>
                <w:szCs w:val="21"/>
              </w:rPr>
              <w:t>XXkV系统设备带电试运</w:t>
            </w:r>
          </w:p>
        </w:tc>
        <w:tc>
          <w:tcPr>
            <w:tcW w:w="6108" w:type="dxa"/>
            <w:vAlign w:val="center"/>
          </w:tcPr>
          <w:p w14:paraId="6AB03891">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p>
        </w:tc>
      </w:tr>
      <w:tr w14:paraId="2C406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01BD4421">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45C4F18C">
            <w:pPr>
              <w:numPr>
                <w:ilvl w:val="0"/>
                <w:numId w:val="0"/>
              </w:numPr>
              <w:tabs>
                <w:tab w:val="left" w:pos="360"/>
              </w:tabs>
              <w:spacing w:line="240" w:lineRule="auto"/>
              <w:ind w:left="0" w:firstLine="0"/>
              <w:jc w:val="center"/>
              <w:rPr>
                <w:rFonts w:ascii="宋体"/>
                <w:sz w:val="21"/>
                <w:szCs w:val="21"/>
              </w:rPr>
            </w:pPr>
          </w:p>
        </w:tc>
        <w:tc>
          <w:tcPr>
            <w:tcW w:w="709" w:type="dxa"/>
            <w:vMerge w:val="restart"/>
            <w:vAlign w:val="center"/>
          </w:tcPr>
          <w:p w14:paraId="1852A988">
            <w:pPr>
              <w:numPr>
                <w:ilvl w:val="0"/>
                <w:numId w:val="0"/>
              </w:numPr>
              <w:tabs>
                <w:tab w:val="left" w:pos="360"/>
              </w:tabs>
              <w:spacing w:line="240" w:lineRule="auto"/>
              <w:ind w:left="0" w:firstLine="0"/>
              <w:jc w:val="center"/>
              <w:rPr>
                <w:rFonts w:ascii="宋体"/>
                <w:sz w:val="21"/>
                <w:szCs w:val="21"/>
              </w:rPr>
            </w:pPr>
            <w:r>
              <w:rPr>
                <w:rFonts w:ascii="宋体"/>
                <w:sz w:val="21"/>
                <w:szCs w:val="21"/>
              </w:rPr>
              <w:t>06</w:t>
            </w:r>
          </w:p>
        </w:tc>
        <w:tc>
          <w:tcPr>
            <w:tcW w:w="1843" w:type="dxa"/>
            <w:vMerge w:val="restart"/>
            <w:vAlign w:val="center"/>
          </w:tcPr>
          <w:p w14:paraId="4A404E5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olor w:val="000000"/>
                <w:sz w:val="21"/>
                <w:szCs w:val="21"/>
              </w:rPr>
              <w:t>无功补偿装置安装</w:t>
            </w:r>
          </w:p>
        </w:tc>
        <w:tc>
          <w:tcPr>
            <w:tcW w:w="709" w:type="dxa"/>
            <w:vAlign w:val="center"/>
          </w:tcPr>
          <w:p w14:paraId="72E56D7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01</w:t>
            </w:r>
          </w:p>
        </w:tc>
        <w:tc>
          <w:tcPr>
            <w:tcW w:w="2877" w:type="dxa"/>
            <w:vAlign w:val="center"/>
          </w:tcPr>
          <w:p w14:paraId="63F1609F">
            <w:pPr>
              <w:widowControl/>
              <w:numPr>
                <w:ilvl w:val="0"/>
                <w:numId w:val="0"/>
              </w:numPr>
              <w:tabs>
                <w:tab w:val="left" w:pos="360"/>
              </w:tabs>
              <w:spacing w:line="240" w:lineRule="auto"/>
              <w:ind w:left="0" w:firstLine="0"/>
              <w:jc w:val="center"/>
              <w:textAlignment w:val="center"/>
              <w:rPr>
                <w:rFonts w:ascii="宋体" w:hAnsi="宋体"/>
                <w:sz w:val="21"/>
                <w:szCs w:val="21"/>
              </w:rPr>
            </w:pPr>
            <w:r>
              <w:rPr>
                <w:rFonts w:hint="eastAsia" w:ascii="宋体"/>
                <w:sz w:val="21"/>
                <w:szCs w:val="21"/>
              </w:rPr>
              <w:t>电抗器安装</w:t>
            </w:r>
          </w:p>
        </w:tc>
        <w:tc>
          <w:tcPr>
            <w:tcW w:w="6108" w:type="dxa"/>
            <w:vAlign w:val="center"/>
          </w:tcPr>
          <w:p w14:paraId="467ABBD8">
            <w:pPr>
              <w:widowControl/>
              <w:numPr>
                <w:ilvl w:val="0"/>
                <w:numId w:val="0"/>
              </w:numPr>
              <w:tabs>
                <w:tab w:val="left" w:pos="360"/>
              </w:tabs>
              <w:spacing w:line="240" w:lineRule="auto"/>
              <w:ind w:left="0" w:firstLine="0"/>
              <w:jc w:val="left"/>
              <w:textAlignment w:val="center"/>
              <w:rPr>
                <w:rFonts w:ascii="宋体" w:hAnsi="宋体"/>
                <w:sz w:val="21"/>
                <w:szCs w:val="21"/>
              </w:rPr>
            </w:pPr>
            <w:r>
              <w:rPr>
                <w:rFonts w:hint="eastAsia" w:ascii="宋体"/>
                <w:sz w:val="21"/>
                <w:szCs w:val="21"/>
              </w:rPr>
              <w:t>隔离开关安装、电抗器安装、互感器安装、母线安装</w:t>
            </w:r>
          </w:p>
        </w:tc>
      </w:tr>
      <w:tr w14:paraId="72217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FF5E296">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2B195302">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41589CD1">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19BD298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5DD3CA2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02</w:t>
            </w:r>
          </w:p>
        </w:tc>
        <w:tc>
          <w:tcPr>
            <w:tcW w:w="2877" w:type="dxa"/>
            <w:vAlign w:val="center"/>
          </w:tcPr>
          <w:p w14:paraId="4BAF6346">
            <w:pPr>
              <w:widowControl/>
              <w:numPr>
                <w:ilvl w:val="0"/>
                <w:numId w:val="0"/>
              </w:numPr>
              <w:tabs>
                <w:tab w:val="left" w:pos="360"/>
              </w:tabs>
              <w:spacing w:line="240" w:lineRule="auto"/>
              <w:ind w:left="0" w:firstLine="0"/>
              <w:jc w:val="center"/>
              <w:textAlignment w:val="center"/>
              <w:rPr>
                <w:rFonts w:ascii="宋体" w:hAnsi="宋体"/>
                <w:sz w:val="21"/>
                <w:szCs w:val="21"/>
              </w:rPr>
            </w:pPr>
            <w:r>
              <w:rPr>
                <w:rFonts w:hint="eastAsia" w:ascii="宋体"/>
                <w:sz w:val="21"/>
                <w:szCs w:val="21"/>
              </w:rPr>
              <w:t>电容器组安装</w:t>
            </w:r>
          </w:p>
        </w:tc>
        <w:tc>
          <w:tcPr>
            <w:tcW w:w="6108" w:type="dxa"/>
            <w:vAlign w:val="center"/>
          </w:tcPr>
          <w:p w14:paraId="53B032B2">
            <w:pPr>
              <w:widowControl/>
              <w:numPr>
                <w:ilvl w:val="0"/>
                <w:numId w:val="0"/>
              </w:numPr>
              <w:tabs>
                <w:tab w:val="left" w:pos="360"/>
              </w:tabs>
              <w:spacing w:line="240" w:lineRule="auto"/>
              <w:ind w:left="0" w:firstLine="0"/>
              <w:jc w:val="left"/>
              <w:textAlignment w:val="center"/>
              <w:rPr>
                <w:rFonts w:ascii="宋体" w:hAnsi="宋体"/>
                <w:sz w:val="21"/>
                <w:szCs w:val="21"/>
              </w:rPr>
            </w:pPr>
            <w:r>
              <w:rPr>
                <w:rFonts w:hint="eastAsia" w:ascii="宋体"/>
                <w:sz w:val="21"/>
                <w:szCs w:val="21"/>
              </w:rPr>
              <w:t>隔离开关安装、限流电抗器安装</w:t>
            </w:r>
          </w:p>
        </w:tc>
      </w:tr>
      <w:tr w14:paraId="1103B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0B6C308F">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0C7E75C4">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434011DF">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4AC42C7F">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0759E4A2">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03</w:t>
            </w:r>
          </w:p>
        </w:tc>
        <w:tc>
          <w:tcPr>
            <w:tcW w:w="2877" w:type="dxa"/>
            <w:vAlign w:val="center"/>
          </w:tcPr>
          <w:p w14:paraId="43817215">
            <w:pPr>
              <w:widowControl/>
              <w:numPr>
                <w:ilvl w:val="0"/>
                <w:numId w:val="0"/>
              </w:numPr>
              <w:tabs>
                <w:tab w:val="left" w:pos="360"/>
              </w:tabs>
              <w:spacing w:line="240" w:lineRule="auto"/>
              <w:ind w:left="0" w:firstLine="0"/>
              <w:jc w:val="center"/>
              <w:textAlignment w:val="center"/>
              <w:rPr>
                <w:rFonts w:ascii="宋体" w:hAnsi="宋体"/>
                <w:color w:val="000000"/>
                <w:sz w:val="21"/>
                <w:szCs w:val="21"/>
              </w:rPr>
            </w:pPr>
            <w:r>
              <w:rPr>
                <w:rFonts w:hint="eastAsia" w:ascii="宋体"/>
                <w:sz w:val="21"/>
                <w:szCs w:val="21"/>
              </w:rPr>
              <w:t>SVG功率控制单元安装</w:t>
            </w:r>
          </w:p>
        </w:tc>
        <w:tc>
          <w:tcPr>
            <w:tcW w:w="6108" w:type="dxa"/>
            <w:vAlign w:val="center"/>
          </w:tcPr>
          <w:p w14:paraId="15E9E938">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r>
              <w:rPr>
                <w:rFonts w:hint="eastAsia" w:ascii="宋体" w:hAnsi="宋体"/>
                <w:color w:val="000000"/>
                <w:sz w:val="21"/>
                <w:szCs w:val="21"/>
              </w:rPr>
              <w:t>控制单元安装、控制系统二次接线</w:t>
            </w:r>
          </w:p>
        </w:tc>
      </w:tr>
      <w:tr w14:paraId="774C8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D668979">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3883F86B">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1E27FF88">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7125F3D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66AD1DD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04</w:t>
            </w:r>
          </w:p>
        </w:tc>
        <w:tc>
          <w:tcPr>
            <w:tcW w:w="2877" w:type="dxa"/>
            <w:vAlign w:val="center"/>
          </w:tcPr>
          <w:p w14:paraId="1A8DAD19">
            <w:pPr>
              <w:widowControl/>
              <w:numPr>
                <w:ilvl w:val="0"/>
                <w:numId w:val="0"/>
              </w:numPr>
              <w:tabs>
                <w:tab w:val="left" w:pos="360"/>
              </w:tabs>
              <w:spacing w:line="240" w:lineRule="auto"/>
              <w:ind w:left="0" w:firstLine="0"/>
              <w:jc w:val="center"/>
              <w:textAlignment w:val="center"/>
              <w:rPr>
                <w:rFonts w:ascii="宋体" w:hAnsi="宋体"/>
                <w:sz w:val="21"/>
                <w:szCs w:val="21"/>
              </w:rPr>
            </w:pPr>
            <w:r>
              <w:rPr>
                <w:rFonts w:hint="eastAsia" w:ascii="宋体"/>
                <w:sz w:val="21"/>
                <w:szCs w:val="21"/>
              </w:rPr>
              <w:t>连接变压器安装</w:t>
            </w:r>
          </w:p>
        </w:tc>
        <w:tc>
          <w:tcPr>
            <w:tcW w:w="6108" w:type="dxa"/>
            <w:vAlign w:val="center"/>
          </w:tcPr>
          <w:p w14:paraId="1D55E6E7">
            <w:pPr>
              <w:widowControl/>
              <w:numPr>
                <w:ilvl w:val="0"/>
                <w:numId w:val="0"/>
              </w:numPr>
              <w:tabs>
                <w:tab w:val="left" w:pos="360"/>
              </w:tabs>
              <w:spacing w:line="240" w:lineRule="auto"/>
              <w:ind w:left="0" w:firstLine="0"/>
              <w:jc w:val="left"/>
              <w:textAlignment w:val="center"/>
              <w:rPr>
                <w:rFonts w:ascii="宋体" w:hAnsi="宋体"/>
                <w:sz w:val="21"/>
                <w:szCs w:val="21"/>
              </w:rPr>
            </w:pPr>
            <w:r>
              <w:rPr>
                <w:rFonts w:hint="eastAsia" w:ascii="宋体" w:hAnsi="宋体"/>
                <w:sz w:val="21"/>
                <w:szCs w:val="21"/>
              </w:rPr>
              <w:t>变压器本体安装、变压器器身检查、变压器附件安装、变压器注油及密封试验、控制及端子箱安装、变压器整体检查</w:t>
            </w:r>
          </w:p>
        </w:tc>
      </w:tr>
      <w:tr w14:paraId="0C8D0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0E9DB1F3">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47E24A1E">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0D4D96B2">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4C97CE0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47571253">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10</w:t>
            </w:r>
          </w:p>
        </w:tc>
        <w:tc>
          <w:tcPr>
            <w:tcW w:w="2877" w:type="dxa"/>
            <w:vAlign w:val="center"/>
          </w:tcPr>
          <w:p w14:paraId="6A980D1C">
            <w:pPr>
              <w:widowControl/>
              <w:numPr>
                <w:ilvl w:val="0"/>
                <w:numId w:val="0"/>
              </w:numPr>
              <w:tabs>
                <w:tab w:val="left" w:pos="360"/>
              </w:tabs>
              <w:spacing w:line="240" w:lineRule="auto"/>
              <w:ind w:left="0" w:firstLine="0"/>
              <w:jc w:val="center"/>
              <w:textAlignment w:val="center"/>
              <w:rPr>
                <w:rFonts w:ascii="宋体" w:hAnsi="宋体"/>
                <w:color w:val="000000"/>
                <w:sz w:val="21"/>
                <w:szCs w:val="21"/>
              </w:rPr>
            </w:pPr>
            <w:r>
              <w:rPr>
                <w:rFonts w:hint="eastAsia" w:ascii="宋体" w:hAnsi="宋体"/>
                <w:color w:val="000000"/>
                <w:sz w:val="21"/>
                <w:szCs w:val="21"/>
              </w:rPr>
              <w:t>无功补偿装置带电试运</w:t>
            </w:r>
          </w:p>
        </w:tc>
        <w:tc>
          <w:tcPr>
            <w:tcW w:w="6108" w:type="dxa"/>
            <w:vAlign w:val="center"/>
          </w:tcPr>
          <w:p w14:paraId="3F8449E6">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p>
        </w:tc>
      </w:tr>
      <w:tr w14:paraId="48D43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78AF1B4">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2D22D8AB">
            <w:pPr>
              <w:numPr>
                <w:ilvl w:val="0"/>
                <w:numId w:val="0"/>
              </w:numPr>
              <w:tabs>
                <w:tab w:val="left" w:pos="360"/>
              </w:tabs>
              <w:spacing w:line="240" w:lineRule="auto"/>
              <w:ind w:left="0" w:firstLine="0"/>
              <w:jc w:val="center"/>
              <w:rPr>
                <w:rFonts w:ascii="宋体"/>
                <w:sz w:val="21"/>
                <w:szCs w:val="21"/>
              </w:rPr>
            </w:pPr>
          </w:p>
        </w:tc>
        <w:tc>
          <w:tcPr>
            <w:tcW w:w="709" w:type="dxa"/>
            <w:vMerge w:val="restart"/>
            <w:vAlign w:val="center"/>
          </w:tcPr>
          <w:p w14:paraId="1A3DA01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07</w:t>
            </w:r>
          </w:p>
        </w:tc>
        <w:tc>
          <w:tcPr>
            <w:tcW w:w="1843" w:type="dxa"/>
            <w:vMerge w:val="restart"/>
            <w:vAlign w:val="center"/>
          </w:tcPr>
          <w:p w14:paraId="4073F4C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全站电缆施工</w:t>
            </w:r>
          </w:p>
        </w:tc>
        <w:tc>
          <w:tcPr>
            <w:tcW w:w="709" w:type="dxa"/>
            <w:vAlign w:val="center"/>
          </w:tcPr>
          <w:p w14:paraId="752B1DD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01</w:t>
            </w:r>
          </w:p>
        </w:tc>
        <w:tc>
          <w:tcPr>
            <w:tcW w:w="2877" w:type="dxa"/>
            <w:vAlign w:val="center"/>
          </w:tcPr>
          <w:p w14:paraId="2D6C884F">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电缆管配制及敷设</w:t>
            </w:r>
          </w:p>
        </w:tc>
        <w:tc>
          <w:tcPr>
            <w:tcW w:w="6108" w:type="dxa"/>
            <w:vAlign w:val="center"/>
          </w:tcPr>
          <w:p w14:paraId="2A06C400">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电缆管配制及敷设</w:t>
            </w:r>
          </w:p>
        </w:tc>
      </w:tr>
      <w:tr w14:paraId="6FEE8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24FCFEA4">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3F8C0BEF">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087BB27C">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1843" w:type="dxa"/>
            <w:vMerge w:val="continue"/>
            <w:vAlign w:val="center"/>
          </w:tcPr>
          <w:p w14:paraId="133C281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44F26A6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02</w:t>
            </w:r>
          </w:p>
        </w:tc>
        <w:tc>
          <w:tcPr>
            <w:tcW w:w="2877" w:type="dxa"/>
            <w:vAlign w:val="center"/>
          </w:tcPr>
          <w:p w14:paraId="0260F82B">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电缆支架（桥架）配置及安装</w:t>
            </w:r>
          </w:p>
        </w:tc>
        <w:tc>
          <w:tcPr>
            <w:tcW w:w="6108" w:type="dxa"/>
            <w:vAlign w:val="center"/>
          </w:tcPr>
          <w:p w14:paraId="28461AD2">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电缆支架（桥架）安装</w:t>
            </w:r>
          </w:p>
        </w:tc>
      </w:tr>
      <w:tr w14:paraId="38CB1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CEE0B1D">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15460ACF">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1A45430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1843" w:type="dxa"/>
            <w:vMerge w:val="continue"/>
            <w:vAlign w:val="center"/>
          </w:tcPr>
          <w:p w14:paraId="2B77235B">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0925639B">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03</w:t>
            </w:r>
          </w:p>
        </w:tc>
        <w:tc>
          <w:tcPr>
            <w:tcW w:w="2877" w:type="dxa"/>
            <w:vAlign w:val="center"/>
          </w:tcPr>
          <w:p w14:paraId="01A5DB4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电缆敷设</w:t>
            </w:r>
          </w:p>
        </w:tc>
        <w:tc>
          <w:tcPr>
            <w:tcW w:w="6108" w:type="dxa"/>
            <w:vAlign w:val="center"/>
          </w:tcPr>
          <w:p w14:paraId="4C6F0509">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屋内电缆敷设、屋外电缆敷设</w:t>
            </w:r>
          </w:p>
        </w:tc>
      </w:tr>
      <w:tr w14:paraId="40383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41ABCB39">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56925ACB">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270A8D0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1843" w:type="dxa"/>
            <w:vMerge w:val="continue"/>
            <w:vAlign w:val="center"/>
          </w:tcPr>
          <w:p w14:paraId="428E79FF">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1AFE693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04</w:t>
            </w:r>
          </w:p>
        </w:tc>
        <w:tc>
          <w:tcPr>
            <w:tcW w:w="2877" w:type="dxa"/>
            <w:vAlign w:val="center"/>
          </w:tcPr>
          <w:p w14:paraId="5532BD5D">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电力电缆终端头制作</w:t>
            </w:r>
          </w:p>
        </w:tc>
        <w:tc>
          <w:tcPr>
            <w:tcW w:w="6108" w:type="dxa"/>
            <w:vAlign w:val="center"/>
          </w:tcPr>
          <w:p w14:paraId="14989907">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电力电缆终端头制作及安装、电力电缆中间接头制作及安装</w:t>
            </w:r>
          </w:p>
        </w:tc>
      </w:tr>
      <w:tr w14:paraId="21F61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87E7130">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213712B2">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6E65277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1843" w:type="dxa"/>
            <w:vMerge w:val="continue"/>
            <w:vAlign w:val="center"/>
          </w:tcPr>
          <w:p w14:paraId="4E58652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0968FAC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05</w:t>
            </w:r>
          </w:p>
        </w:tc>
        <w:tc>
          <w:tcPr>
            <w:tcW w:w="2877" w:type="dxa"/>
            <w:vAlign w:val="center"/>
          </w:tcPr>
          <w:p w14:paraId="07876D6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控制电缆终端头制作及安装</w:t>
            </w:r>
          </w:p>
        </w:tc>
        <w:tc>
          <w:tcPr>
            <w:tcW w:w="6108" w:type="dxa"/>
            <w:vAlign w:val="center"/>
          </w:tcPr>
          <w:p w14:paraId="36348530">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控制电缆终端头制作及安装</w:t>
            </w:r>
          </w:p>
        </w:tc>
      </w:tr>
      <w:tr w14:paraId="6CC96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790E086">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44972F92">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4E373B6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1843" w:type="dxa"/>
            <w:vMerge w:val="continue"/>
            <w:vAlign w:val="center"/>
          </w:tcPr>
          <w:p w14:paraId="4FA2D15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51E9939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06</w:t>
            </w:r>
          </w:p>
        </w:tc>
        <w:tc>
          <w:tcPr>
            <w:tcW w:w="2877" w:type="dxa"/>
            <w:vAlign w:val="center"/>
          </w:tcPr>
          <w:p w14:paraId="6862DECF">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电缆防火与阻燃</w:t>
            </w:r>
          </w:p>
        </w:tc>
        <w:tc>
          <w:tcPr>
            <w:tcW w:w="6108" w:type="dxa"/>
            <w:vAlign w:val="center"/>
          </w:tcPr>
          <w:p w14:paraId="3C48E177">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电缆防火与阻燃</w:t>
            </w:r>
          </w:p>
        </w:tc>
      </w:tr>
      <w:tr w14:paraId="42539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6E7DF45">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4DEE3606">
            <w:pPr>
              <w:numPr>
                <w:ilvl w:val="0"/>
                <w:numId w:val="0"/>
              </w:numPr>
              <w:tabs>
                <w:tab w:val="left" w:pos="360"/>
              </w:tabs>
              <w:spacing w:line="240" w:lineRule="auto"/>
              <w:ind w:left="0" w:firstLine="0"/>
              <w:jc w:val="center"/>
              <w:rPr>
                <w:rFonts w:ascii="宋体"/>
                <w:sz w:val="21"/>
                <w:szCs w:val="21"/>
              </w:rPr>
            </w:pPr>
          </w:p>
        </w:tc>
        <w:tc>
          <w:tcPr>
            <w:tcW w:w="709" w:type="dxa"/>
            <w:vMerge w:val="restart"/>
            <w:vAlign w:val="center"/>
          </w:tcPr>
          <w:p w14:paraId="6593F378">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08</w:t>
            </w:r>
          </w:p>
        </w:tc>
        <w:tc>
          <w:tcPr>
            <w:tcW w:w="1843" w:type="dxa"/>
            <w:vMerge w:val="restart"/>
            <w:vAlign w:val="center"/>
          </w:tcPr>
          <w:p w14:paraId="77D48975">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全站防雷及接地装置安装</w:t>
            </w:r>
          </w:p>
        </w:tc>
        <w:tc>
          <w:tcPr>
            <w:tcW w:w="709" w:type="dxa"/>
            <w:vAlign w:val="center"/>
          </w:tcPr>
          <w:p w14:paraId="379AF01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01</w:t>
            </w:r>
          </w:p>
        </w:tc>
        <w:tc>
          <w:tcPr>
            <w:tcW w:w="2877" w:type="dxa"/>
            <w:vAlign w:val="center"/>
          </w:tcPr>
          <w:p w14:paraId="418DE0BC">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避雷针及引下线安装</w:t>
            </w:r>
          </w:p>
        </w:tc>
        <w:tc>
          <w:tcPr>
            <w:tcW w:w="6108" w:type="dxa"/>
            <w:vAlign w:val="center"/>
          </w:tcPr>
          <w:p w14:paraId="08FB2DC0">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避雷针及引下线安装</w:t>
            </w:r>
          </w:p>
        </w:tc>
      </w:tr>
      <w:tr w14:paraId="3A4FC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2F19704">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3B73879D">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35D37AA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1843" w:type="dxa"/>
            <w:vMerge w:val="continue"/>
            <w:vAlign w:val="center"/>
          </w:tcPr>
          <w:p w14:paraId="6BDEC75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19F51F3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02</w:t>
            </w:r>
          </w:p>
        </w:tc>
        <w:tc>
          <w:tcPr>
            <w:tcW w:w="2877" w:type="dxa"/>
            <w:vAlign w:val="center"/>
          </w:tcPr>
          <w:p w14:paraId="5D63536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接地装置安装</w:t>
            </w:r>
          </w:p>
        </w:tc>
        <w:tc>
          <w:tcPr>
            <w:tcW w:w="6108" w:type="dxa"/>
            <w:vAlign w:val="center"/>
          </w:tcPr>
          <w:p w14:paraId="1D516605">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hAnsi="宋体" w:cs="宋体"/>
                <w:color w:val="000000"/>
                <w:kern w:val="0"/>
                <w:sz w:val="21"/>
                <w:szCs w:val="21"/>
              </w:rPr>
              <w:t>屋外接地装置安装、屋内接地装置安装、电气二次系统等电位接地装置安装</w:t>
            </w:r>
          </w:p>
        </w:tc>
      </w:tr>
      <w:tr w14:paraId="37E14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2118302">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62DF7F4C">
            <w:pPr>
              <w:numPr>
                <w:ilvl w:val="0"/>
                <w:numId w:val="0"/>
              </w:numPr>
              <w:tabs>
                <w:tab w:val="left" w:pos="360"/>
              </w:tabs>
              <w:spacing w:line="240" w:lineRule="auto"/>
              <w:ind w:left="0" w:firstLine="0"/>
              <w:jc w:val="center"/>
              <w:rPr>
                <w:rFonts w:ascii="宋体"/>
                <w:sz w:val="21"/>
                <w:szCs w:val="21"/>
              </w:rPr>
            </w:pPr>
          </w:p>
        </w:tc>
        <w:tc>
          <w:tcPr>
            <w:tcW w:w="709" w:type="dxa"/>
            <w:vMerge w:val="restart"/>
            <w:vAlign w:val="center"/>
          </w:tcPr>
          <w:p w14:paraId="1FF066B6">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10</w:t>
            </w:r>
          </w:p>
        </w:tc>
        <w:tc>
          <w:tcPr>
            <w:tcW w:w="1843" w:type="dxa"/>
            <w:vMerge w:val="restart"/>
            <w:vAlign w:val="center"/>
          </w:tcPr>
          <w:p w14:paraId="6D3C33F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s="宋体"/>
                <w:color w:val="000000"/>
                <w:kern w:val="0"/>
                <w:sz w:val="21"/>
                <w:szCs w:val="21"/>
              </w:rPr>
              <w:t>全站电气照明装置安装</w:t>
            </w:r>
          </w:p>
        </w:tc>
        <w:tc>
          <w:tcPr>
            <w:tcW w:w="709" w:type="dxa"/>
            <w:vAlign w:val="center"/>
          </w:tcPr>
          <w:p w14:paraId="748C450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01</w:t>
            </w:r>
          </w:p>
        </w:tc>
        <w:tc>
          <w:tcPr>
            <w:tcW w:w="2877" w:type="dxa"/>
            <w:vAlign w:val="center"/>
          </w:tcPr>
          <w:p w14:paraId="600F6D1F">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sz w:val="21"/>
                <w:szCs w:val="21"/>
              </w:rPr>
              <w:t>屋外开关站照明安装</w:t>
            </w:r>
          </w:p>
        </w:tc>
        <w:tc>
          <w:tcPr>
            <w:tcW w:w="6108" w:type="dxa"/>
            <w:vAlign w:val="center"/>
          </w:tcPr>
          <w:p w14:paraId="5784EC98">
            <w:pPr>
              <w:widowControl/>
              <w:numPr>
                <w:ilvl w:val="0"/>
                <w:numId w:val="0"/>
              </w:numPr>
              <w:tabs>
                <w:tab w:val="left" w:pos="360"/>
              </w:tabs>
              <w:spacing w:line="240" w:lineRule="auto"/>
              <w:ind w:left="0" w:firstLine="0"/>
              <w:jc w:val="left"/>
              <w:textAlignment w:val="center"/>
              <w:rPr>
                <w:rFonts w:ascii="宋体" w:hAnsi="宋体" w:cs="宋体"/>
                <w:color w:val="000000"/>
                <w:kern w:val="0"/>
                <w:sz w:val="21"/>
                <w:szCs w:val="21"/>
              </w:rPr>
            </w:pPr>
            <w:r>
              <w:rPr>
                <w:rFonts w:hint="eastAsia" w:ascii="宋体"/>
                <w:sz w:val="21"/>
                <w:szCs w:val="21"/>
              </w:rPr>
              <w:t>管路敷设、管内配线及接线、照明配电箱（板）安装、照明灯具安装</w:t>
            </w:r>
          </w:p>
        </w:tc>
      </w:tr>
      <w:tr w14:paraId="6B2FD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F0AECB0">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4BB46FA1">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56748077">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340AB5DD">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1742EA03">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10.1</w:t>
            </w:r>
          </w:p>
        </w:tc>
        <w:tc>
          <w:tcPr>
            <w:tcW w:w="2877" w:type="dxa"/>
            <w:vAlign w:val="center"/>
          </w:tcPr>
          <w:p w14:paraId="14E44CA7">
            <w:pPr>
              <w:widowControl/>
              <w:numPr>
                <w:ilvl w:val="0"/>
                <w:numId w:val="0"/>
              </w:numPr>
              <w:tabs>
                <w:tab w:val="left" w:pos="360"/>
              </w:tabs>
              <w:spacing w:line="240" w:lineRule="auto"/>
              <w:ind w:left="0" w:firstLine="0"/>
              <w:jc w:val="center"/>
              <w:textAlignment w:val="center"/>
              <w:rPr>
                <w:rFonts w:ascii="宋体"/>
                <w:sz w:val="21"/>
                <w:szCs w:val="21"/>
              </w:rPr>
            </w:pPr>
            <w:r>
              <w:rPr>
                <w:rFonts w:ascii="宋体"/>
                <w:sz w:val="21"/>
                <w:szCs w:val="21"/>
              </w:rPr>
              <w:t>屋外开关站照明回路</w:t>
            </w:r>
          </w:p>
          <w:p w14:paraId="7BE3E300">
            <w:pPr>
              <w:widowControl/>
              <w:numPr>
                <w:ilvl w:val="0"/>
                <w:numId w:val="0"/>
              </w:numPr>
              <w:tabs>
                <w:tab w:val="left" w:pos="360"/>
              </w:tabs>
              <w:spacing w:line="240" w:lineRule="auto"/>
              <w:ind w:left="0" w:firstLine="0"/>
              <w:jc w:val="center"/>
              <w:textAlignment w:val="center"/>
              <w:rPr>
                <w:rFonts w:ascii="宋体" w:hAnsi="宋体"/>
                <w:color w:val="000000"/>
                <w:sz w:val="21"/>
                <w:szCs w:val="21"/>
              </w:rPr>
            </w:pPr>
            <w:r>
              <w:rPr>
                <w:rFonts w:ascii="宋体"/>
                <w:sz w:val="21"/>
                <w:szCs w:val="21"/>
              </w:rPr>
              <w:t>通电检查</w:t>
            </w:r>
          </w:p>
        </w:tc>
        <w:tc>
          <w:tcPr>
            <w:tcW w:w="6108" w:type="dxa"/>
            <w:vAlign w:val="center"/>
          </w:tcPr>
          <w:p w14:paraId="08352DD6">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p>
        </w:tc>
      </w:tr>
      <w:tr w14:paraId="2008A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FB9AA42">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01DB67EF">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305A5B35">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28463D13">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1D46AAA4">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02</w:t>
            </w:r>
          </w:p>
        </w:tc>
        <w:tc>
          <w:tcPr>
            <w:tcW w:w="2877" w:type="dxa"/>
            <w:vAlign w:val="center"/>
          </w:tcPr>
          <w:p w14:paraId="0058A1CB">
            <w:pPr>
              <w:widowControl/>
              <w:numPr>
                <w:ilvl w:val="0"/>
                <w:numId w:val="0"/>
              </w:numPr>
              <w:tabs>
                <w:tab w:val="left" w:pos="360"/>
              </w:tabs>
              <w:spacing w:line="240" w:lineRule="auto"/>
              <w:ind w:left="0" w:firstLine="0"/>
              <w:jc w:val="center"/>
              <w:textAlignment w:val="center"/>
              <w:rPr>
                <w:rFonts w:ascii="宋体" w:hAnsi="宋体"/>
                <w:color w:val="000000"/>
                <w:sz w:val="21"/>
                <w:szCs w:val="21"/>
              </w:rPr>
            </w:pPr>
            <w:r>
              <w:rPr>
                <w:rFonts w:hint="eastAsia" w:ascii="宋体"/>
                <w:sz w:val="21"/>
                <w:szCs w:val="21"/>
              </w:rPr>
              <w:t>屋外道路照明安装</w:t>
            </w:r>
          </w:p>
        </w:tc>
        <w:tc>
          <w:tcPr>
            <w:tcW w:w="6108" w:type="dxa"/>
            <w:vAlign w:val="center"/>
          </w:tcPr>
          <w:p w14:paraId="2E69999C">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r>
              <w:rPr>
                <w:rFonts w:hint="eastAsia" w:ascii="宋体" w:hAnsi="宋体"/>
                <w:color w:val="000000"/>
                <w:sz w:val="21"/>
                <w:szCs w:val="21"/>
              </w:rPr>
              <w:t>电缆敷设接线、照明灯具安装</w:t>
            </w:r>
          </w:p>
        </w:tc>
      </w:tr>
      <w:tr w14:paraId="3332A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trPr>
        <w:tc>
          <w:tcPr>
            <w:tcW w:w="534" w:type="dxa"/>
            <w:vMerge w:val="continue"/>
            <w:tcBorders>
              <w:bottom w:val="single" w:color="auto" w:sz="4" w:space="0"/>
            </w:tcBorders>
            <w:vAlign w:val="center"/>
          </w:tcPr>
          <w:p w14:paraId="163D97B6">
            <w:pPr>
              <w:numPr>
                <w:ilvl w:val="0"/>
                <w:numId w:val="0"/>
              </w:numPr>
              <w:tabs>
                <w:tab w:val="left" w:pos="360"/>
              </w:tabs>
              <w:spacing w:line="240" w:lineRule="auto"/>
              <w:ind w:left="0" w:firstLine="0"/>
              <w:jc w:val="center"/>
              <w:rPr>
                <w:rFonts w:ascii="宋体"/>
                <w:sz w:val="21"/>
                <w:szCs w:val="21"/>
              </w:rPr>
            </w:pPr>
          </w:p>
        </w:tc>
        <w:tc>
          <w:tcPr>
            <w:tcW w:w="1233" w:type="dxa"/>
            <w:vMerge w:val="continue"/>
            <w:tcBorders>
              <w:bottom w:val="single" w:color="auto" w:sz="4" w:space="0"/>
            </w:tcBorders>
            <w:vAlign w:val="center"/>
          </w:tcPr>
          <w:p w14:paraId="617DF80E">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16301BB2">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077935A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134AC04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10.2</w:t>
            </w:r>
          </w:p>
        </w:tc>
        <w:tc>
          <w:tcPr>
            <w:tcW w:w="2877" w:type="dxa"/>
            <w:vAlign w:val="center"/>
          </w:tcPr>
          <w:p w14:paraId="79673FF4">
            <w:pPr>
              <w:widowControl/>
              <w:numPr>
                <w:ilvl w:val="0"/>
                <w:numId w:val="0"/>
              </w:numPr>
              <w:tabs>
                <w:tab w:val="left" w:pos="360"/>
              </w:tabs>
              <w:spacing w:line="240" w:lineRule="auto"/>
              <w:ind w:left="0" w:firstLine="0"/>
              <w:jc w:val="center"/>
              <w:textAlignment w:val="center"/>
              <w:rPr>
                <w:rFonts w:ascii="宋体" w:hAnsi="宋体"/>
                <w:color w:val="000000"/>
                <w:sz w:val="21"/>
                <w:szCs w:val="21"/>
              </w:rPr>
            </w:pPr>
            <w:r>
              <w:rPr>
                <w:rFonts w:ascii="宋体"/>
                <w:sz w:val="21"/>
                <w:szCs w:val="21"/>
              </w:rPr>
              <w:t>屋外</w:t>
            </w:r>
            <w:r>
              <w:rPr>
                <w:rFonts w:hint="eastAsia" w:ascii="宋体"/>
                <w:sz w:val="21"/>
                <w:szCs w:val="21"/>
              </w:rPr>
              <w:t>道路</w:t>
            </w:r>
            <w:r>
              <w:rPr>
                <w:rFonts w:ascii="宋体"/>
                <w:sz w:val="21"/>
                <w:szCs w:val="21"/>
              </w:rPr>
              <w:t>照明回路通电检查</w:t>
            </w:r>
          </w:p>
        </w:tc>
        <w:tc>
          <w:tcPr>
            <w:tcW w:w="6108" w:type="dxa"/>
            <w:vAlign w:val="center"/>
          </w:tcPr>
          <w:p w14:paraId="3D15F594">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p>
        </w:tc>
      </w:tr>
      <w:tr w14:paraId="5C924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tcBorders>
              <w:top w:val="single" w:color="auto" w:sz="4" w:space="0"/>
            </w:tcBorders>
            <w:vAlign w:val="center"/>
          </w:tcPr>
          <w:p w14:paraId="6E5BB82C">
            <w:pPr>
              <w:numPr>
                <w:ilvl w:val="0"/>
                <w:numId w:val="0"/>
              </w:numPr>
              <w:tabs>
                <w:tab w:val="left" w:pos="360"/>
              </w:tabs>
              <w:spacing w:line="240" w:lineRule="auto"/>
              <w:ind w:left="0" w:firstLine="0"/>
              <w:jc w:val="center"/>
              <w:rPr>
                <w:rFonts w:ascii="宋体"/>
                <w:sz w:val="21"/>
                <w:szCs w:val="21"/>
              </w:rPr>
            </w:pPr>
            <w:r>
              <w:rPr>
                <w:rFonts w:ascii="宋体"/>
                <w:sz w:val="21"/>
                <w:szCs w:val="21"/>
              </w:rPr>
              <w:t>03</w:t>
            </w:r>
          </w:p>
        </w:tc>
        <w:tc>
          <w:tcPr>
            <w:tcW w:w="1233" w:type="dxa"/>
            <w:vMerge w:val="restart"/>
            <w:tcBorders>
              <w:top w:val="single" w:color="auto" w:sz="4" w:space="0"/>
            </w:tcBorders>
            <w:vAlign w:val="center"/>
          </w:tcPr>
          <w:p w14:paraId="4072F768">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升压站电气安装工程</w:t>
            </w:r>
          </w:p>
        </w:tc>
        <w:tc>
          <w:tcPr>
            <w:tcW w:w="709" w:type="dxa"/>
            <w:vMerge w:val="restart"/>
            <w:vAlign w:val="center"/>
          </w:tcPr>
          <w:p w14:paraId="3BB00528">
            <w:pPr>
              <w:numPr>
                <w:ilvl w:val="0"/>
                <w:numId w:val="0"/>
              </w:numPr>
              <w:tabs>
                <w:tab w:val="left" w:pos="360"/>
              </w:tabs>
              <w:spacing w:line="240" w:lineRule="auto"/>
              <w:ind w:left="0" w:firstLine="0"/>
              <w:jc w:val="center"/>
              <w:rPr>
                <w:rFonts w:ascii="宋体"/>
                <w:sz w:val="21"/>
                <w:szCs w:val="21"/>
              </w:rPr>
            </w:pPr>
            <w:r>
              <w:rPr>
                <w:rFonts w:ascii="宋体"/>
                <w:sz w:val="21"/>
                <w:szCs w:val="21"/>
              </w:rPr>
              <w:t>11</w:t>
            </w:r>
          </w:p>
        </w:tc>
        <w:tc>
          <w:tcPr>
            <w:tcW w:w="1843" w:type="dxa"/>
            <w:vMerge w:val="restart"/>
            <w:vAlign w:val="center"/>
          </w:tcPr>
          <w:p w14:paraId="01D2CEA1">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hint="eastAsia" w:ascii="宋体" w:hAnsi="宋体"/>
                <w:color w:val="000000"/>
                <w:sz w:val="21"/>
                <w:szCs w:val="21"/>
              </w:rPr>
              <w:t>通信工程安装</w:t>
            </w:r>
          </w:p>
        </w:tc>
        <w:tc>
          <w:tcPr>
            <w:tcW w:w="709" w:type="dxa"/>
            <w:vAlign w:val="center"/>
          </w:tcPr>
          <w:p w14:paraId="3D040597">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01</w:t>
            </w:r>
          </w:p>
        </w:tc>
        <w:tc>
          <w:tcPr>
            <w:tcW w:w="2877" w:type="dxa"/>
            <w:vAlign w:val="center"/>
          </w:tcPr>
          <w:p w14:paraId="07EFCEDA">
            <w:pPr>
              <w:widowControl/>
              <w:numPr>
                <w:ilvl w:val="0"/>
                <w:numId w:val="0"/>
              </w:numPr>
              <w:tabs>
                <w:tab w:val="left" w:pos="360"/>
              </w:tabs>
              <w:spacing w:line="240" w:lineRule="auto"/>
              <w:ind w:left="0" w:firstLine="0"/>
              <w:jc w:val="center"/>
              <w:textAlignment w:val="center"/>
              <w:rPr>
                <w:rFonts w:ascii="宋体" w:hAnsi="宋体"/>
                <w:color w:val="000000"/>
                <w:sz w:val="21"/>
                <w:szCs w:val="21"/>
              </w:rPr>
            </w:pPr>
            <w:r>
              <w:rPr>
                <w:rFonts w:hint="eastAsia" w:ascii="宋体"/>
                <w:sz w:val="21"/>
                <w:szCs w:val="21"/>
              </w:rPr>
              <w:t>载波微波通信工程安装</w:t>
            </w:r>
          </w:p>
        </w:tc>
        <w:tc>
          <w:tcPr>
            <w:tcW w:w="6108" w:type="dxa"/>
            <w:vAlign w:val="center"/>
          </w:tcPr>
          <w:p w14:paraId="76DE8FAD">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r>
              <w:rPr>
                <w:rFonts w:hint="eastAsia" w:ascii="宋体"/>
                <w:sz w:val="21"/>
                <w:szCs w:val="21"/>
              </w:rPr>
              <w:t>通信系统结合设备安装、微波天线安装、微波馈线安装、机架安装、通信设备安装</w:t>
            </w:r>
          </w:p>
        </w:tc>
      </w:tr>
      <w:tr w14:paraId="7AB1C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6116E4B1">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1661F4C3">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680079DD">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564CB9E9">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6EE53D8A">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02</w:t>
            </w:r>
          </w:p>
        </w:tc>
        <w:tc>
          <w:tcPr>
            <w:tcW w:w="2877" w:type="dxa"/>
            <w:vAlign w:val="center"/>
          </w:tcPr>
          <w:p w14:paraId="059E6AF1">
            <w:pPr>
              <w:widowControl/>
              <w:numPr>
                <w:ilvl w:val="0"/>
                <w:numId w:val="0"/>
              </w:numPr>
              <w:tabs>
                <w:tab w:val="left" w:pos="360"/>
              </w:tabs>
              <w:spacing w:line="240" w:lineRule="auto"/>
              <w:ind w:left="0" w:firstLine="0"/>
              <w:jc w:val="center"/>
              <w:textAlignment w:val="center"/>
              <w:rPr>
                <w:rFonts w:ascii="宋体" w:hAnsi="宋体"/>
                <w:color w:val="000000"/>
                <w:sz w:val="21"/>
                <w:szCs w:val="21"/>
              </w:rPr>
            </w:pPr>
            <w:r>
              <w:rPr>
                <w:rFonts w:hint="eastAsia" w:ascii="宋体"/>
                <w:sz w:val="21"/>
                <w:szCs w:val="21"/>
              </w:rPr>
              <w:t>光纤通信设备安装</w:t>
            </w:r>
          </w:p>
        </w:tc>
        <w:tc>
          <w:tcPr>
            <w:tcW w:w="6108" w:type="dxa"/>
            <w:vAlign w:val="center"/>
          </w:tcPr>
          <w:p w14:paraId="1316F608">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r>
              <w:rPr>
                <w:rFonts w:hint="eastAsia" w:ascii="宋体"/>
                <w:sz w:val="21"/>
                <w:szCs w:val="21"/>
              </w:rPr>
              <w:t>机架安装、通信设备安装、站内通信光缆安装</w:t>
            </w:r>
          </w:p>
        </w:tc>
      </w:tr>
      <w:tr w14:paraId="1CFF1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4212C24">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4C4123AA">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1FFF61B0">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57765BB0">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652F848F">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03</w:t>
            </w:r>
          </w:p>
        </w:tc>
        <w:tc>
          <w:tcPr>
            <w:tcW w:w="2877" w:type="dxa"/>
            <w:vAlign w:val="center"/>
          </w:tcPr>
          <w:p w14:paraId="600C5CF2">
            <w:pPr>
              <w:widowControl/>
              <w:numPr>
                <w:ilvl w:val="0"/>
                <w:numId w:val="0"/>
              </w:numPr>
              <w:tabs>
                <w:tab w:val="left" w:pos="360"/>
              </w:tabs>
              <w:spacing w:line="240" w:lineRule="auto"/>
              <w:ind w:left="0" w:firstLine="0"/>
              <w:jc w:val="center"/>
              <w:textAlignment w:val="center"/>
              <w:rPr>
                <w:rFonts w:ascii="宋体" w:hAnsi="宋体"/>
                <w:color w:val="000000"/>
                <w:sz w:val="21"/>
                <w:szCs w:val="21"/>
              </w:rPr>
            </w:pPr>
            <w:r>
              <w:rPr>
                <w:rFonts w:hint="eastAsia" w:ascii="宋体"/>
                <w:sz w:val="21"/>
                <w:szCs w:val="21"/>
              </w:rPr>
              <w:t>通信电源安装</w:t>
            </w:r>
          </w:p>
        </w:tc>
        <w:tc>
          <w:tcPr>
            <w:tcW w:w="6108" w:type="dxa"/>
            <w:vAlign w:val="center"/>
          </w:tcPr>
          <w:p w14:paraId="6F2D6596">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r>
              <w:rPr>
                <w:rFonts w:hint="eastAsia" w:ascii="宋体"/>
                <w:sz w:val="21"/>
                <w:szCs w:val="21"/>
              </w:rPr>
              <w:t>直流屏及不间断电源设备安装、通信系统蓄电池安装</w:t>
            </w:r>
          </w:p>
        </w:tc>
      </w:tr>
      <w:tr w14:paraId="5E651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1AFC8D0">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3AD29288">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7A2305A1">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395B6D22">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p>
        </w:tc>
        <w:tc>
          <w:tcPr>
            <w:tcW w:w="709" w:type="dxa"/>
            <w:vAlign w:val="center"/>
          </w:tcPr>
          <w:p w14:paraId="4DBB1CCE">
            <w:pPr>
              <w:widowControl/>
              <w:numPr>
                <w:ilvl w:val="0"/>
                <w:numId w:val="0"/>
              </w:numPr>
              <w:tabs>
                <w:tab w:val="left" w:pos="360"/>
              </w:tabs>
              <w:spacing w:line="240" w:lineRule="auto"/>
              <w:ind w:left="0" w:firstLine="0"/>
              <w:jc w:val="center"/>
              <w:textAlignment w:val="center"/>
              <w:rPr>
                <w:rFonts w:ascii="宋体" w:hAnsi="宋体" w:cs="宋体"/>
                <w:color w:val="000000"/>
                <w:kern w:val="0"/>
                <w:sz w:val="21"/>
                <w:szCs w:val="21"/>
              </w:rPr>
            </w:pPr>
            <w:r>
              <w:rPr>
                <w:rFonts w:ascii="宋体" w:hAnsi="宋体" w:cs="宋体"/>
                <w:color w:val="000000"/>
                <w:kern w:val="0"/>
                <w:sz w:val="21"/>
                <w:szCs w:val="21"/>
              </w:rPr>
              <w:t>04</w:t>
            </w:r>
          </w:p>
        </w:tc>
        <w:tc>
          <w:tcPr>
            <w:tcW w:w="2877" w:type="dxa"/>
            <w:vAlign w:val="center"/>
          </w:tcPr>
          <w:p w14:paraId="68C144F0">
            <w:pPr>
              <w:widowControl/>
              <w:numPr>
                <w:ilvl w:val="0"/>
                <w:numId w:val="0"/>
              </w:numPr>
              <w:tabs>
                <w:tab w:val="left" w:pos="360"/>
              </w:tabs>
              <w:spacing w:line="240" w:lineRule="auto"/>
              <w:ind w:left="0" w:firstLine="0"/>
              <w:jc w:val="center"/>
              <w:textAlignment w:val="center"/>
              <w:rPr>
                <w:rFonts w:ascii="宋体" w:hAnsi="宋体"/>
                <w:color w:val="000000"/>
                <w:sz w:val="21"/>
                <w:szCs w:val="21"/>
              </w:rPr>
            </w:pPr>
            <w:r>
              <w:rPr>
                <w:rFonts w:hint="eastAsia" w:ascii="宋体"/>
                <w:sz w:val="21"/>
                <w:szCs w:val="21"/>
              </w:rPr>
              <w:t>通信系统防雷接地安装</w:t>
            </w:r>
          </w:p>
        </w:tc>
        <w:tc>
          <w:tcPr>
            <w:tcW w:w="6108" w:type="dxa"/>
            <w:vAlign w:val="center"/>
          </w:tcPr>
          <w:p w14:paraId="3EF75E46">
            <w:pPr>
              <w:widowControl/>
              <w:numPr>
                <w:ilvl w:val="0"/>
                <w:numId w:val="0"/>
              </w:numPr>
              <w:tabs>
                <w:tab w:val="left" w:pos="360"/>
              </w:tabs>
              <w:spacing w:line="240" w:lineRule="auto"/>
              <w:ind w:left="0" w:firstLine="0"/>
              <w:jc w:val="left"/>
              <w:textAlignment w:val="center"/>
              <w:rPr>
                <w:rFonts w:ascii="宋体" w:hAnsi="宋体"/>
                <w:color w:val="000000"/>
                <w:sz w:val="21"/>
                <w:szCs w:val="21"/>
              </w:rPr>
            </w:pPr>
            <w:r>
              <w:rPr>
                <w:rFonts w:hint="eastAsia" w:ascii="宋体" w:hAnsi="宋体" w:cs="宋体"/>
                <w:sz w:val="21"/>
                <w:szCs w:val="21"/>
              </w:rPr>
              <w:t>通信站（系统）防雷接地安装</w:t>
            </w:r>
          </w:p>
        </w:tc>
      </w:tr>
    </w:tbl>
    <w:p w14:paraId="2BAA0CE9"/>
    <w:p w14:paraId="5870D10C">
      <w:pPr>
        <w:pStyle w:val="2"/>
        <w:spacing w:before="156" w:after="156"/>
        <w:outlineLvl w:val="9"/>
      </w:pPr>
    </w:p>
    <w:p w14:paraId="5F383E74"/>
    <w:p w14:paraId="186F4E90">
      <w:pPr>
        <w:widowControl/>
        <w:adjustRightInd/>
        <w:snapToGrid/>
        <w:spacing w:line="240" w:lineRule="auto"/>
        <w:jc w:val="left"/>
      </w:pPr>
      <w:r>
        <w:br w:type="page"/>
      </w:r>
    </w:p>
    <w:p w14:paraId="6EF2E6A4">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pPr>
      <w:bookmarkStart w:id="106" w:name="_Toc92737149"/>
      <w:bookmarkStart w:id="107" w:name="_Toc28766"/>
      <w:r>
        <w:rPr>
          <w:rFonts w:hint="eastAsia" w:eastAsia="宋体"/>
        </w:rPr>
        <w:t>附录D</w:t>
      </w:r>
      <w:r>
        <w:rPr>
          <w:rFonts w:hint="eastAsia"/>
          <w:lang w:val="en-US" w:eastAsia="zh-CN"/>
        </w:rPr>
        <w:t xml:space="preserve">  </w:t>
      </w:r>
      <w:r>
        <w:rPr>
          <w:rFonts w:hint="eastAsia" w:eastAsia="宋体"/>
        </w:rPr>
        <w:t>升压站电气调试工程质量验收范围划分表</w:t>
      </w:r>
      <w:bookmarkEnd w:id="106"/>
      <w:bookmarkEnd w:id="107"/>
    </w:p>
    <w:p w14:paraId="52CD9E41">
      <w:pPr>
        <w:spacing w:line="240" w:lineRule="auto"/>
        <w:jc w:val="center"/>
        <w:rPr>
          <w:sz w:val="21"/>
          <w:szCs w:val="21"/>
        </w:rPr>
      </w:pPr>
      <w:r>
        <w:rPr>
          <w:rFonts w:hint="eastAsia" w:ascii="黑体" w:hAnsi="黑体" w:eastAsia="黑体" w:cs="黑体"/>
          <w:sz w:val="28"/>
          <w:szCs w:val="28"/>
        </w:rPr>
        <w:t>表</w:t>
      </w:r>
      <w:r>
        <w:rPr>
          <w:rFonts w:hint="default" w:ascii="Times New Roman" w:hAnsi="Times New Roman" w:eastAsia="黑体" w:cs="Times New Roman"/>
          <w:b/>
          <w:bCs/>
          <w:sz w:val="28"/>
          <w:szCs w:val="28"/>
        </w:rPr>
        <w:t>D</w:t>
      </w:r>
      <w:r>
        <w:rPr>
          <w:rFonts w:hint="eastAsia"/>
          <w:lang w:val="en-US" w:eastAsia="zh-CN"/>
        </w:rPr>
        <w:t xml:space="preserve">  </w:t>
      </w:r>
      <w:r>
        <w:rPr>
          <w:rFonts w:hint="eastAsia" w:ascii="黑体" w:hAnsi="黑体" w:eastAsia="黑体" w:cs="黑体"/>
          <w:sz w:val="28"/>
          <w:szCs w:val="28"/>
        </w:rPr>
        <w:t>升压站电气调试工程质量验收范围划分表</w:t>
      </w:r>
    </w:p>
    <w:tbl>
      <w:tblPr>
        <w:tblStyle w:val="13"/>
        <w:tblW w:w="14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4"/>
        <w:gridCol w:w="1233"/>
        <w:gridCol w:w="709"/>
        <w:gridCol w:w="2735"/>
        <w:gridCol w:w="8789"/>
      </w:tblGrid>
      <w:tr w14:paraId="456E7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restart"/>
            <w:vAlign w:val="center"/>
          </w:tcPr>
          <w:p w14:paraId="1603BBFD">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233" w:type="dxa"/>
            <w:vMerge w:val="restart"/>
            <w:vAlign w:val="center"/>
          </w:tcPr>
          <w:p w14:paraId="796E686B">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单位工程</w:t>
            </w:r>
          </w:p>
        </w:tc>
        <w:tc>
          <w:tcPr>
            <w:tcW w:w="3444" w:type="dxa"/>
            <w:gridSpan w:val="2"/>
            <w:vAlign w:val="center"/>
          </w:tcPr>
          <w:p w14:paraId="0E663C4B">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分部工程</w:t>
            </w:r>
          </w:p>
        </w:tc>
        <w:tc>
          <w:tcPr>
            <w:tcW w:w="8789" w:type="dxa"/>
            <w:vMerge w:val="restart"/>
            <w:tcBorders>
              <w:top w:val="single" w:color="auto" w:sz="4" w:space="0"/>
              <w:right w:val="single" w:color="auto" w:sz="4" w:space="0"/>
            </w:tcBorders>
            <w:shd w:val="clear" w:color="auto" w:fill="auto"/>
            <w:vAlign w:val="center"/>
          </w:tcPr>
          <w:p w14:paraId="451FE436">
            <w:pPr>
              <w:widowControl/>
              <w:numPr>
                <w:ilvl w:val="0"/>
                <w:numId w:val="0"/>
              </w:numPr>
              <w:tabs>
                <w:tab w:val="left" w:pos="360"/>
              </w:tabs>
              <w:adjustRightInd/>
              <w:snapToGrid/>
              <w:spacing w:line="240" w:lineRule="auto"/>
              <w:ind w:left="0" w:firstLine="0"/>
              <w:jc w:val="center"/>
              <w:rPr>
                <w:rFonts w:ascii="宋体"/>
                <w:sz w:val="21"/>
                <w:szCs w:val="21"/>
              </w:rPr>
            </w:pPr>
            <w:r>
              <w:rPr>
                <w:rFonts w:hint="eastAsia" w:ascii="宋体"/>
                <w:sz w:val="21"/>
                <w:szCs w:val="21"/>
              </w:rPr>
              <w:t>分项工程</w:t>
            </w:r>
          </w:p>
        </w:tc>
      </w:tr>
      <w:tr w14:paraId="246D9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continue"/>
            <w:vAlign w:val="center"/>
          </w:tcPr>
          <w:p w14:paraId="010BE49C">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7C8A2FEE">
            <w:pPr>
              <w:numPr>
                <w:ilvl w:val="0"/>
                <w:numId w:val="0"/>
              </w:numPr>
              <w:tabs>
                <w:tab w:val="left" w:pos="360"/>
              </w:tabs>
              <w:spacing w:line="240" w:lineRule="auto"/>
              <w:ind w:left="0" w:firstLine="0"/>
              <w:jc w:val="center"/>
              <w:rPr>
                <w:rFonts w:ascii="宋体"/>
                <w:sz w:val="21"/>
                <w:szCs w:val="21"/>
              </w:rPr>
            </w:pPr>
          </w:p>
        </w:tc>
        <w:tc>
          <w:tcPr>
            <w:tcW w:w="709" w:type="dxa"/>
            <w:vAlign w:val="center"/>
          </w:tcPr>
          <w:p w14:paraId="592E41F9">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2735" w:type="dxa"/>
            <w:vAlign w:val="center"/>
          </w:tcPr>
          <w:p w14:paraId="27237482">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8789" w:type="dxa"/>
            <w:vMerge w:val="continue"/>
            <w:tcBorders>
              <w:right w:val="single" w:color="auto" w:sz="4" w:space="0"/>
            </w:tcBorders>
            <w:vAlign w:val="center"/>
          </w:tcPr>
          <w:p w14:paraId="43E1C534">
            <w:pPr>
              <w:numPr>
                <w:ilvl w:val="0"/>
                <w:numId w:val="0"/>
              </w:numPr>
              <w:tabs>
                <w:tab w:val="left" w:pos="360"/>
              </w:tabs>
              <w:spacing w:line="240" w:lineRule="auto"/>
              <w:ind w:left="0" w:firstLine="0"/>
              <w:jc w:val="center"/>
              <w:rPr>
                <w:rFonts w:ascii="宋体"/>
                <w:sz w:val="21"/>
                <w:szCs w:val="21"/>
              </w:rPr>
            </w:pPr>
          </w:p>
        </w:tc>
      </w:tr>
      <w:tr w14:paraId="30E75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vAlign w:val="center"/>
          </w:tcPr>
          <w:p w14:paraId="03AB8A9D">
            <w:pPr>
              <w:numPr>
                <w:ilvl w:val="0"/>
                <w:numId w:val="0"/>
              </w:numPr>
              <w:tabs>
                <w:tab w:val="left" w:pos="360"/>
              </w:tabs>
              <w:spacing w:line="240" w:lineRule="auto"/>
              <w:ind w:left="0" w:firstLine="0"/>
              <w:jc w:val="center"/>
              <w:rPr>
                <w:rFonts w:ascii="宋体"/>
                <w:sz w:val="21"/>
                <w:szCs w:val="21"/>
              </w:rPr>
            </w:pPr>
            <w:r>
              <w:rPr>
                <w:rFonts w:ascii="宋体"/>
                <w:sz w:val="21"/>
                <w:szCs w:val="21"/>
              </w:rPr>
              <w:t>04</w:t>
            </w:r>
          </w:p>
        </w:tc>
        <w:tc>
          <w:tcPr>
            <w:tcW w:w="1233" w:type="dxa"/>
            <w:vMerge w:val="restart"/>
            <w:vAlign w:val="center"/>
          </w:tcPr>
          <w:p w14:paraId="4EE76241">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升压站电气调试工程</w:t>
            </w:r>
          </w:p>
        </w:tc>
        <w:tc>
          <w:tcPr>
            <w:tcW w:w="709" w:type="dxa"/>
            <w:vAlign w:val="center"/>
          </w:tcPr>
          <w:p w14:paraId="3D486C02">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ascii="宋体" w:hAnsi="宋体" w:cs="宋体"/>
                <w:kern w:val="0"/>
                <w:sz w:val="21"/>
                <w:szCs w:val="21"/>
              </w:rPr>
              <w:t>01</w:t>
            </w:r>
          </w:p>
        </w:tc>
        <w:tc>
          <w:tcPr>
            <w:tcW w:w="2735" w:type="dxa"/>
            <w:vAlign w:val="center"/>
          </w:tcPr>
          <w:p w14:paraId="123A7408">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hint="eastAsia" w:ascii="宋体"/>
                <w:sz w:val="21"/>
                <w:szCs w:val="21"/>
              </w:rPr>
              <w:t>电气分系统调试工程</w:t>
            </w:r>
          </w:p>
        </w:tc>
        <w:tc>
          <w:tcPr>
            <w:tcW w:w="8789" w:type="dxa"/>
            <w:vAlign w:val="center"/>
          </w:tcPr>
          <w:p w14:paraId="546187FA">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sz w:val="21"/>
                <w:szCs w:val="21"/>
              </w:rPr>
              <w:t>升压变电站系统受电前调试、</w:t>
            </w:r>
            <w:r>
              <w:rPr>
                <w:rFonts w:ascii="宋体" w:cs="Arial"/>
                <w:kern w:val="0"/>
                <w:sz w:val="21"/>
                <w:szCs w:val="21"/>
              </w:rPr>
              <w:t>升压变电站系统</w:t>
            </w:r>
            <w:r>
              <w:rPr>
                <w:rFonts w:hint="eastAsia" w:ascii="宋体" w:cs="Arial"/>
                <w:kern w:val="0"/>
                <w:sz w:val="21"/>
                <w:szCs w:val="21"/>
              </w:rPr>
              <w:t>受电后调试、变压器组保护系统调试、</w:t>
            </w:r>
            <w:r>
              <w:rPr>
                <w:rFonts w:ascii="宋体" w:cs="Arial"/>
                <w:kern w:val="0"/>
                <w:sz w:val="21"/>
                <w:szCs w:val="21"/>
              </w:rPr>
              <w:t>主变压器本体系统</w:t>
            </w:r>
            <w:r>
              <w:rPr>
                <w:rFonts w:hint="eastAsia" w:ascii="宋体" w:cs="Arial"/>
                <w:kern w:val="0"/>
                <w:sz w:val="21"/>
                <w:szCs w:val="21"/>
              </w:rPr>
              <w:t>调试、</w:t>
            </w:r>
            <w:r>
              <w:rPr>
                <w:rFonts w:ascii="宋体" w:cs="Arial"/>
                <w:kern w:val="0"/>
                <w:sz w:val="21"/>
                <w:szCs w:val="21"/>
              </w:rPr>
              <w:t>故障录波系统调试、直流电源系统调试、中央信号系统调试、</w:t>
            </w:r>
            <w:r>
              <w:rPr>
                <w:rFonts w:hint="eastAsia" w:ascii="宋体" w:cs="Arial"/>
                <w:kern w:val="0"/>
                <w:sz w:val="21"/>
                <w:szCs w:val="21"/>
              </w:rPr>
              <w:t>电气微机监控系统调试、</w:t>
            </w:r>
            <w:r>
              <w:rPr>
                <w:rFonts w:ascii="宋体" w:cs="Arial"/>
                <w:kern w:val="0"/>
                <w:sz w:val="21"/>
                <w:szCs w:val="21"/>
              </w:rPr>
              <w:t>保安电源系统调试、</w:t>
            </w:r>
            <w:r>
              <w:rPr>
                <w:rFonts w:hint="eastAsia" w:ascii="宋体" w:cs="Arial"/>
                <w:kern w:val="0"/>
                <w:sz w:val="21"/>
                <w:szCs w:val="21"/>
              </w:rPr>
              <w:t>柴油发电机系统调试、</w:t>
            </w:r>
            <w:r>
              <w:rPr>
                <w:rFonts w:ascii="宋体" w:cs="Arial"/>
                <w:kern w:val="0"/>
                <w:sz w:val="21"/>
                <w:szCs w:val="21"/>
              </w:rPr>
              <w:t>事故照明系统调试、低压厂用电源切换系统调试、不停电电源系统调试、</w:t>
            </w:r>
            <w:r>
              <w:rPr>
                <w:rFonts w:hint="eastAsia" w:ascii="宋体" w:cs="Arial"/>
                <w:kern w:val="0"/>
                <w:sz w:val="21"/>
                <w:szCs w:val="21"/>
              </w:rPr>
              <w:t>电气控制系统调试</w:t>
            </w:r>
          </w:p>
        </w:tc>
      </w:tr>
      <w:tr w14:paraId="5F3E3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3562086">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6C20755F">
            <w:pPr>
              <w:numPr>
                <w:ilvl w:val="0"/>
                <w:numId w:val="0"/>
              </w:numPr>
              <w:tabs>
                <w:tab w:val="left" w:pos="360"/>
              </w:tabs>
              <w:spacing w:line="240" w:lineRule="auto"/>
              <w:ind w:left="0" w:firstLine="0"/>
              <w:jc w:val="center"/>
              <w:rPr>
                <w:rFonts w:ascii="宋体"/>
                <w:sz w:val="21"/>
                <w:szCs w:val="21"/>
              </w:rPr>
            </w:pPr>
          </w:p>
        </w:tc>
        <w:tc>
          <w:tcPr>
            <w:tcW w:w="709" w:type="dxa"/>
            <w:vAlign w:val="center"/>
          </w:tcPr>
          <w:p w14:paraId="0E4C345D">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ascii="宋体" w:hAnsi="宋体" w:cs="宋体"/>
                <w:kern w:val="0"/>
                <w:sz w:val="21"/>
                <w:szCs w:val="21"/>
              </w:rPr>
              <w:t>02</w:t>
            </w:r>
          </w:p>
        </w:tc>
        <w:tc>
          <w:tcPr>
            <w:tcW w:w="2735" w:type="dxa"/>
            <w:vAlign w:val="center"/>
          </w:tcPr>
          <w:p w14:paraId="71E13EC3">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hint="eastAsia" w:ascii="宋体" w:hAnsi="宋体"/>
                <w:sz w:val="21"/>
                <w:szCs w:val="21"/>
              </w:rPr>
              <w:t>电气整套启动调试工程</w:t>
            </w:r>
          </w:p>
        </w:tc>
        <w:tc>
          <w:tcPr>
            <w:tcW w:w="8789" w:type="dxa"/>
            <w:vAlign w:val="center"/>
          </w:tcPr>
          <w:p w14:paraId="0F91F87D">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cs="宋体"/>
                <w:sz w:val="21"/>
                <w:szCs w:val="21"/>
              </w:rPr>
              <w:t>主变压器试运、电气控制系统调试、电气满负荷试运行</w:t>
            </w:r>
          </w:p>
        </w:tc>
      </w:tr>
    </w:tbl>
    <w:p w14:paraId="4FEB1F23">
      <w:pPr>
        <w:rPr>
          <w:rFonts w:eastAsia="黑体"/>
          <w:kern w:val="44"/>
          <w:szCs w:val="44"/>
        </w:rPr>
      </w:pPr>
    </w:p>
    <w:p w14:paraId="65146D35">
      <w:pPr>
        <w:widowControl/>
        <w:adjustRightInd/>
        <w:snapToGrid/>
        <w:spacing w:line="240" w:lineRule="auto"/>
        <w:jc w:val="left"/>
        <w:rPr>
          <w:rFonts w:eastAsia="黑体"/>
          <w:b/>
          <w:bCs/>
          <w:kern w:val="44"/>
          <w:szCs w:val="44"/>
        </w:rPr>
      </w:pPr>
      <w:r>
        <w:br w:type="page"/>
      </w:r>
    </w:p>
    <w:p w14:paraId="016D6D8D">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rPr>
          <w:rFonts w:hint="eastAsia" w:eastAsia="宋体"/>
          <w:color w:val="auto"/>
        </w:rPr>
      </w:pPr>
      <w:bookmarkStart w:id="108" w:name="_Toc6383"/>
      <w:bookmarkStart w:id="109" w:name="_Toc92737150"/>
      <w:r>
        <w:rPr>
          <w:rFonts w:hint="eastAsia" w:eastAsia="宋体"/>
          <w:color w:val="auto"/>
        </w:rPr>
        <w:t>附录E</w:t>
      </w:r>
      <w:r>
        <w:rPr>
          <w:rFonts w:hint="eastAsia"/>
          <w:color w:val="auto"/>
          <w:lang w:val="en-US" w:eastAsia="zh-CN"/>
        </w:rPr>
        <w:t xml:space="preserve">  </w:t>
      </w:r>
      <w:r>
        <w:rPr>
          <w:rFonts w:hint="eastAsia" w:eastAsia="宋体"/>
          <w:color w:val="auto"/>
        </w:rPr>
        <w:t>光伏区土建工程质量验收范围划分表</w:t>
      </w:r>
      <w:bookmarkEnd w:id="108"/>
      <w:bookmarkEnd w:id="109"/>
    </w:p>
    <w:p w14:paraId="14A8641D">
      <w:pPr>
        <w:spacing w:line="240" w:lineRule="auto"/>
        <w:jc w:val="center"/>
        <w:rPr>
          <w:rFonts w:hint="eastAsia" w:ascii="黑体" w:hAnsi="黑体" w:eastAsia="黑体" w:cs="黑体"/>
          <w:color w:val="auto"/>
          <w:sz w:val="28"/>
          <w:szCs w:val="28"/>
        </w:rPr>
      </w:pPr>
      <w:r>
        <w:rPr>
          <w:rFonts w:hint="eastAsia" w:ascii="黑体" w:hAnsi="黑体" w:eastAsia="黑体" w:cs="黑体"/>
          <w:color w:val="auto"/>
          <w:sz w:val="28"/>
          <w:szCs w:val="28"/>
        </w:rPr>
        <w:t>表</w:t>
      </w:r>
      <w:r>
        <w:rPr>
          <w:rFonts w:hint="default" w:ascii="Times New Roman" w:hAnsi="Times New Roman" w:eastAsia="黑体" w:cs="Times New Roman"/>
          <w:b/>
          <w:bCs/>
          <w:color w:val="auto"/>
          <w:sz w:val="28"/>
          <w:szCs w:val="28"/>
        </w:rPr>
        <w:t>E</w:t>
      </w:r>
      <w:r>
        <w:rPr>
          <w:rFonts w:hint="eastAsia"/>
          <w:color w:val="auto"/>
          <w:lang w:val="en-US" w:eastAsia="zh-CN"/>
        </w:rPr>
        <w:t xml:space="preserve">  </w:t>
      </w:r>
      <w:r>
        <w:rPr>
          <w:rFonts w:hint="eastAsia" w:ascii="黑体" w:hAnsi="黑体" w:eastAsia="黑体" w:cs="黑体"/>
          <w:color w:val="auto"/>
          <w:sz w:val="28"/>
          <w:szCs w:val="28"/>
        </w:rPr>
        <w:t>光伏区土建工程质量验收范围划分表</w:t>
      </w:r>
    </w:p>
    <w:tbl>
      <w:tblPr>
        <w:tblStyle w:val="13"/>
        <w:tblW w:w="1395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4"/>
        <w:gridCol w:w="1233"/>
        <w:gridCol w:w="709"/>
        <w:gridCol w:w="1843"/>
        <w:gridCol w:w="709"/>
        <w:gridCol w:w="2026"/>
        <w:gridCol w:w="6904"/>
      </w:tblGrid>
      <w:tr w14:paraId="31BB9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restart"/>
            <w:vAlign w:val="center"/>
          </w:tcPr>
          <w:p w14:paraId="4A3F699C">
            <w:pPr>
              <w:numPr>
                <w:ilvl w:val="0"/>
                <w:numId w:val="0"/>
              </w:numPr>
              <w:tabs>
                <w:tab w:val="left" w:pos="360"/>
              </w:tabs>
              <w:spacing w:line="240" w:lineRule="auto"/>
              <w:ind w:left="0" w:firstLine="0"/>
              <w:jc w:val="center"/>
              <w:rPr>
                <w:rFonts w:ascii="宋体"/>
                <w:color w:val="auto"/>
                <w:sz w:val="21"/>
                <w:szCs w:val="21"/>
              </w:rPr>
            </w:pPr>
            <w:r>
              <w:rPr>
                <w:rFonts w:hint="eastAsia" w:ascii="宋体"/>
                <w:color w:val="auto"/>
                <w:sz w:val="21"/>
                <w:szCs w:val="21"/>
              </w:rPr>
              <w:t>序号</w:t>
            </w:r>
          </w:p>
        </w:tc>
        <w:tc>
          <w:tcPr>
            <w:tcW w:w="1233" w:type="dxa"/>
            <w:vMerge w:val="restart"/>
            <w:vAlign w:val="center"/>
          </w:tcPr>
          <w:p w14:paraId="38C00683">
            <w:pPr>
              <w:numPr>
                <w:ilvl w:val="0"/>
                <w:numId w:val="0"/>
              </w:numPr>
              <w:tabs>
                <w:tab w:val="left" w:pos="360"/>
              </w:tabs>
              <w:spacing w:line="240" w:lineRule="auto"/>
              <w:ind w:left="0" w:firstLine="0"/>
              <w:jc w:val="center"/>
              <w:rPr>
                <w:rFonts w:ascii="宋体"/>
                <w:color w:val="auto"/>
                <w:sz w:val="21"/>
                <w:szCs w:val="21"/>
              </w:rPr>
            </w:pPr>
            <w:r>
              <w:rPr>
                <w:rFonts w:hint="eastAsia" w:ascii="宋体"/>
                <w:color w:val="auto"/>
                <w:sz w:val="21"/>
                <w:szCs w:val="21"/>
              </w:rPr>
              <w:t>单位工程</w:t>
            </w:r>
          </w:p>
        </w:tc>
        <w:tc>
          <w:tcPr>
            <w:tcW w:w="2552" w:type="dxa"/>
            <w:gridSpan w:val="2"/>
            <w:vAlign w:val="center"/>
          </w:tcPr>
          <w:p w14:paraId="68427846">
            <w:pPr>
              <w:numPr>
                <w:ilvl w:val="0"/>
                <w:numId w:val="0"/>
              </w:numPr>
              <w:tabs>
                <w:tab w:val="left" w:pos="360"/>
              </w:tabs>
              <w:spacing w:line="240" w:lineRule="auto"/>
              <w:ind w:left="0" w:firstLine="0"/>
              <w:jc w:val="center"/>
              <w:rPr>
                <w:rFonts w:ascii="宋体"/>
                <w:color w:val="auto"/>
                <w:sz w:val="21"/>
                <w:szCs w:val="21"/>
              </w:rPr>
            </w:pPr>
            <w:r>
              <w:rPr>
                <w:rFonts w:hint="eastAsia" w:ascii="宋体"/>
                <w:color w:val="auto"/>
                <w:sz w:val="21"/>
                <w:szCs w:val="21"/>
              </w:rPr>
              <w:t>分部工程</w:t>
            </w:r>
          </w:p>
        </w:tc>
        <w:tc>
          <w:tcPr>
            <w:tcW w:w="2735" w:type="dxa"/>
            <w:gridSpan w:val="2"/>
            <w:vAlign w:val="center"/>
          </w:tcPr>
          <w:p w14:paraId="10D03FBD">
            <w:pPr>
              <w:numPr>
                <w:ilvl w:val="0"/>
                <w:numId w:val="0"/>
              </w:numPr>
              <w:tabs>
                <w:tab w:val="left" w:pos="360"/>
              </w:tabs>
              <w:spacing w:line="240" w:lineRule="auto"/>
              <w:ind w:left="0" w:firstLine="0"/>
              <w:jc w:val="center"/>
              <w:rPr>
                <w:rFonts w:ascii="宋体"/>
                <w:color w:val="auto"/>
                <w:sz w:val="21"/>
                <w:szCs w:val="21"/>
              </w:rPr>
            </w:pPr>
            <w:r>
              <w:rPr>
                <w:rFonts w:hint="eastAsia" w:ascii="宋体"/>
                <w:color w:val="auto"/>
                <w:sz w:val="21"/>
                <w:szCs w:val="21"/>
              </w:rPr>
              <w:t>子分部工程</w:t>
            </w:r>
          </w:p>
        </w:tc>
        <w:tc>
          <w:tcPr>
            <w:tcW w:w="6904" w:type="dxa"/>
            <w:vMerge w:val="restart"/>
            <w:tcBorders>
              <w:top w:val="single" w:color="auto" w:sz="4" w:space="0"/>
              <w:right w:val="single" w:color="auto" w:sz="4" w:space="0"/>
            </w:tcBorders>
            <w:shd w:val="clear" w:color="auto" w:fill="auto"/>
            <w:vAlign w:val="center"/>
          </w:tcPr>
          <w:p w14:paraId="349060BE">
            <w:pPr>
              <w:widowControl/>
              <w:numPr>
                <w:ilvl w:val="0"/>
                <w:numId w:val="0"/>
              </w:numPr>
              <w:tabs>
                <w:tab w:val="left" w:pos="360"/>
              </w:tabs>
              <w:adjustRightInd/>
              <w:snapToGrid/>
              <w:spacing w:line="240" w:lineRule="auto"/>
              <w:ind w:left="0" w:firstLine="0"/>
              <w:jc w:val="center"/>
              <w:rPr>
                <w:rFonts w:ascii="宋体"/>
                <w:color w:val="auto"/>
                <w:sz w:val="21"/>
                <w:szCs w:val="21"/>
              </w:rPr>
            </w:pPr>
            <w:r>
              <w:rPr>
                <w:rFonts w:hint="eastAsia" w:ascii="宋体"/>
                <w:color w:val="auto"/>
                <w:sz w:val="21"/>
                <w:szCs w:val="21"/>
              </w:rPr>
              <w:t>分项工程</w:t>
            </w:r>
          </w:p>
        </w:tc>
      </w:tr>
      <w:tr w14:paraId="7BF9E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continue"/>
            <w:vAlign w:val="center"/>
          </w:tcPr>
          <w:p w14:paraId="615F77FC">
            <w:pPr>
              <w:numPr>
                <w:ilvl w:val="0"/>
                <w:numId w:val="0"/>
              </w:numPr>
              <w:tabs>
                <w:tab w:val="left" w:pos="360"/>
              </w:tabs>
              <w:spacing w:line="240" w:lineRule="auto"/>
              <w:ind w:left="0" w:firstLine="0"/>
              <w:jc w:val="center"/>
              <w:rPr>
                <w:rFonts w:ascii="宋体"/>
                <w:color w:val="auto"/>
                <w:sz w:val="21"/>
                <w:szCs w:val="21"/>
              </w:rPr>
            </w:pPr>
          </w:p>
        </w:tc>
        <w:tc>
          <w:tcPr>
            <w:tcW w:w="1233" w:type="dxa"/>
            <w:vMerge w:val="continue"/>
            <w:vAlign w:val="center"/>
          </w:tcPr>
          <w:p w14:paraId="001A6B54">
            <w:pPr>
              <w:numPr>
                <w:ilvl w:val="0"/>
                <w:numId w:val="0"/>
              </w:numPr>
              <w:tabs>
                <w:tab w:val="left" w:pos="360"/>
              </w:tabs>
              <w:spacing w:line="240" w:lineRule="auto"/>
              <w:ind w:left="0" w:firstLine="0"/>
              <w:jc w:val="center"/>
              <w:rPr>
                <w:rFonts w:ascii="宋体"/>
                <w:color w:val="auto"/>
                <w:sz w:val="21"/>
                <w:szCs w:val="21"/>
              </w:rPr>
            </w:pPr>
          </w:p>
        </w:tc>
        <w:tc>
          <w:tcPr>
            <w:tcW w:w="709" w:type="dxa"/>
            <w:vAlign w:val="center"/>
          </w:tcPr>
          <w:p w14:paraId="24A15817">
            <w:pPr>
              <w:numPr>
                <w:ilvl w:val="0"/>
                <w:numId w:val="0"/>
              </w:numPr>
              <w:tabs>
                <w:tab w:val="left" w:pos="360"/>
              </w:tabs>
              <w:spacing w:line="240" w:lineRule="auto"/>
              <w:ind w:left="0" w:firstLine="0"/>
              <w:jc w:val="center"/>
              <w:rPr>
                <w:rFonts w:ascii="宋体"/>
                <w:color w:val="auto"/>
                <w:sz w:val="21"/>
                <w:szCs w:val="21"/>
              </w:rPr>
            </w:pPr>
            <w:r>
              <w:rPr>
                <w:rFonts w:hint="eastAsia" w:ascii="宋体"/>
                <w:color w:val="auto"/>
                <w:sz w:val="21"/>
                <w:szCs w:val="21"/>
              </w:rPr>
              <w:t>序号</w:t>
            </w:r>
          </w:p>
        </w:tc>
        <w:tc>
          <w:tcPr>
            <w:tcW w:w="1843" w:type="dxa"/>
            <w:vAlign w:val="center"/>
          </w:tcPr>
          <w:p w14:paraId="58F96165">
            <w:pPr>
              <w:numPr>
                <w:ilvl w:val="0"/>
                <w:numId w:val="0"/>
              </w:numPr>
              <w:tabs>
                <w:tab w:val="left" w:pos="360"/>
              </w:tabs>
              <w:spacing w:line="240" w:lineRule="auto"/>
              <w:ind w:left="0" w:firstLine="0"/>
              <w:jc w:val="center"/>
              <w:rPr>
                <w:rFonts w:ascii="宋体"/>
                <w:color w:val="auto"/>
                <w:sz w:val="21"/>
                <w:szCs w:val="21"/>
              </w:rPr>
            </w:pPr>
            <w:r>
              <w:rPr>
                <w:rFonts w:hint="eastAsia" w:ascii="宋体"/>
                <w:color w:val="auto"/>
                <w:sz w:val="21"/>
                <w:szCs w:val="21"/>
              </w:rPr>
              <w:t>名称</w:t>
            </w:r>
          </w:p>
        </w:tc>
        <w:tc>
          <w:tcPr>
            <w:tcW w:w="709" w:type="dxa"/>
            <w:vAlign w:val="center"/>
          </w:tcPr>
          <w:p w14:paraId="0DEEE859">
            <w:pPr>
              <w:numPr>
                <w:ilvl w:val="0"/>
                <w:numId w:val="0"/>
              </w:numPr>
              <w:tabs>
                <w:tab w:val="left" w:pos="360"/>
              </w:tabs>
              <w:spacing w:line="240" w:lineRule="auto"/>
              <w:ind w:left="0" w:firstLine="0"/>
              <w:jc w:val="center"/>
              <w:rPr>
                <w:rFonts w:ascii="宋体"/>
                <w:color w:val="auto"/>
                <w:sz w:val="21"/>
                <w:szCs w:val="21"/>
              </w:rPr>
            </w:pPr>
            <w:r>
              <w:rPr>
                <w:rFonts w:hint="eastAsia" w:ascii="宋体"/>
                <w:color w:val="auto"/>
                <w:sz w:val="21"/>
                <w:szCs w:val="21"/>
              </w:rPr>
              <w:t>序号</w:t>
            </w:r>
          </w:p>
        </w:tc>
        <w:tc>
          <w:tcPr>
            <w:tcW w:w="2026" w:type="dxa"/>
            <w:vAlign w:val="center"/>
          </w:tcPr>
          <w:p w14:paraId="5EB7E7FD">
            <w:pPr>
              <w:numPr>
                <w:ilvl w:val="0"/>
                <w:numId w:val="0"/>
              </w:numPr>
              <w:tabs>
                <w:tab w:val="left" w:pos="360"/>
              </w:tabs>
              <w:spacing w:line="240" w:lineRule="auto"/>
              <w:ind w:left="0" w:firstLine="0"/>
              <w:jc w:val="center"/>
              <w:rPr>
                <w:rFonts w:ascii="宋体"/>
                <w:color w:val="auto"/>
                <w:sz w:val="21"/>
                <w:szCs w:val="21"/>
              </w:rPr>
            </w:pPr>
            <w:r>
              <w:rPr>
                <w:rFonts w:hint="eastAsia" w:ascii="宋体"/>
                <w:color w:val="auto"/>
                <w:sz w:val="21"/>
                <w:szCs w:val="21"/>
              </w:rPr>
              <w:t>名称</w:t>
            </w:r>
          </w:p>
        </w:tc>
        <w:tc>
          <w:tcPr>
            <w:tcW w:w="6904" w:type="dxa"/>
            <w:vMerge w:val="continue"/>
            <w:tcBorders>
              <w:right w:val="single" w:color="auto" w:sz="4" w:space="0"/>
            </w:tcBorders>
            <w:vAlign w:val="center"/>
          </w:tcPr>
          <w:p w14:paraId="1B270F86">
            <w:pPr>
              <w:numPr>
                <w:ilvl w:val="0"/>
                <w:numId w:val="0"/>
              </w:numPr>
              <w:tabs>
                <w:tab w:val="left" w:pos="360"/>
              </w:tabs>
              <w:spacing w:line="240" w:lineRule="auto"/>
              <w:ind w:left="0" w:firstLine="0"/>
              <w:jc w:val="center"/>
              <w:rPr>
                <w:rFonts w:ascii="宋体"/>
                <w:color w:val="auto"/>
                <w:sz w:val="21"/>
                <w:szCs w:val="21"/>
              </w:rPr>
            </w:pPr>
          </w:p>
        </w:tc>
      </w:tr>
      <w:tr w14:paraId="47741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vAlign w:val="center"/>
          </w:tcPr>
          <w:p w14:paraId="21F00BB6">
            <w:pPr>
              <w:numPr>
                <w:ilvl w:val="0"/>
                <w:numId w:val="0"/>
              </w:numPr>
              <w:tabs>
                <w:tab w:val="left" w:pos="360"/>
              </w:tabs>
              <w:spacing w:line="240" w:lineRule="auto"/>
              <w:ind w:left="0" w:firstLine="0"/>
              <w:jc w:val="center"/>
              <w:rPr>
                <w:rFonts w:ascii="宋体"/>
                <w:color w:val="auto"/>
                <w:sz w:val="21"/>
                <w:szCs w:val="21"/>
              </w:rPr>
            </w:pPr>
            <w:r>
              <w:rPr>
                <w:rFonts w:ascii="宋体"/>
                <w:color w:val="auto"/>
                <w:sz w:val="21"/>
                <w:szCs w:val="21"/>
              </w:rPr>
              <w:t>05</w:t>
            </w:r>
          </w:p>
        </w:tc>
        <w:tc>
          <w:tcPr>
            <w:tcW w:w="1233" w:type="dxa"/>
            <w:vMerge w:val="restart"/>
            <w:vAlign w:val="center"/>
          </w:tcPr>
          <w:p w14:paraId="4F15021C">
            <w:pPr>
              <w:numPr>
                <w:ilvl w:val="0"/>
                <w:numId w:val="0"/>
              </w:numPr>
              <w:tabs>
                <w:tab w:val="left" w:pos="360"/>
              </w:tabs>
              <w:spacing w:line="240" w:lineRule="auto"/>
              <w:ind w:left="0" w:firstLine="0"/>
              <w:jc w:val="center"/>
              <w:rPr>
                <w:rFonts w:ascii="宋体"/>
                <w:color w:val="auto"/>
                <w:sz w:val="21"/>
                <w:szCs w:val="21"/>
              </w:rPr>
            </w:pPr>
            <w:r>
              <w:rPr>
                <w:rFonts w:hint="eastAsia" w:ascii="宋体"/>
                <w:color w:val="auto"/>
                <w:sz w:val="21"/>
                <w:szCs w:val="21"/>
              </w:rPr>
              <w:t>光伏区土建工程</w:t>
            </w:r>
          </w:p>
        </w:tc>
        <w:tc>
          <w:tcPr>
            <w:tcW w:w="709" w:type="dxa"/>
            <w:vMerge w:val="restart"/>
            <w:vAlign w:val="center"/>
          </w:tcPr>
          <w:p w14:paraId="444D2755">
            <w:pPr>
              <w:widowControl/>
              <w:numPr>
                <w:ilvl w:val="0"/>
                <w:numId w:val="0"/>
              </w:numPr>
              <w:tabs>
                <w:tab w:val="left" w:pos="360"/>
              </w:tabs>
              <w:spacing w:line="240" w:lineRule="auto"/>
              <w:ind w:left="0" w:firstLine="0"/>
              <w:jc w:val="center"/>
              <w:textAlignment w:val="top"/>
              <w:rPr>
                <w:rFonts w:ascii="宋体" w:hAnsi="宋体" w:cs="宋体"/>
                <w:color w:val="auto"/>
                <w:sz w:val="21"/>
                <w:szCs w:val="21"/>
              </w:rPr>
            </w:pPr>
            <w:r>
              <w:rPr>
                <w:rFonts w:ascii="宋体" w:hAnsi="宋体" w:cs="宋体"/>
                <w:color w:val="auto"/>
                <w:kern w:val="0"/>
                <w:sz w:val="21"/>
                <w:szCs w:val="21"/>
              </w:rPr>
              <w:t>01</w:t>
            </w:r>
            <w:r>
              <w:rPr>
                <w:rFonts w:hint="eastAsia" w:ascii="宋体" w:hAnsi="宋体" w:cs="宋体"/>
                <w:color w:val="auto"/>
                <w:kern w:val="0"/>
                <w:sz w:val="21"/>
                <w:szCs w:val="21"/>
              </w:rPr>
              <w:t>~N</w:t>
            </w:r>
          </w:p>
        </w:tc>
        <w:tc>
          <w:tcPr>
            <w:tcW w:w="1843" w:type="dxa"/>
            <w:vMerge w:val="restart"/>
            <w:vAlign w:val="center"/>
          </w:tcPr>
          <w:p w14:paraId="0A4F9525">
            <w:pPr>
              <w:widowControl/>
              <w:numPr>
                <w:ilvl w:val="0"/>
                <w:numId w:val="0"/>
              </w:numPr>
              <w:tabs>
                <w:tab w:val="left" w:pos="360"/>
              </w:tabs>
              <w:spacing w:line="240" w:lineRule="auto"/>
              <w:ind w:left="0" w:firstLine="0"/>
              <w:jc w:val="center"/>
              <w:textAlignment w:val="top"/>
              <w:rPr>
                <w:rFonts w:ascii="宋体" w:hAnsi="宋体" w:cs="宋体"/>
                <w:color w:val="auto"/>
                <w:sz w:val="21"/>
                <w:szCs w:val="21"/>
              </w:rPr>
            </w:pPr>
            <w:r>
              <w:rPr>
                <w:rFonts w:hint="eastAsia" w:ascii="宋体" w:hAnsi="宋体" w:cs="宋体"/>
                <w:color w:val="auto"/>
                <w:sz w:val="21"/>
                <w:szCs w:val="21"/>
              </w:rPr>
              <w:t>N号光伏方阵土建</w:t>
            </w:r>
          </w:p>
        </w:tc>
        <w:tc>
          <w:tcPr>
            <w:tcW w:w="709" w:type="dxa"/>
            <w:vAlign w:val="center"/>
          </w:tcPr>
          <w:p w14:paraId="3F89FCB9">
            <w:pPr>
              <w:widowControl/>
              <w:numPr>
                <w:ilvl w:val="0"/>
                <w:numId w:val="0"/>
              </w:numPr>
              <w:tabs>
                <w:tab w:val="left" w:pos="360"/>
              </w:tabs>
              <w:spacing w:line="240" w:lineRule="auto"/>
              <w:ind w:left="0" w:firstLine="0"/>
              <w:jc w:val="center"/>
              <w:textAlignment w:val="center"/>
              <w:rPr>
                <w:rFonts w:ascii="宋体" w:hAnsi="宋体" w:cs="宋体"/>
                <w:color w:val="auto"/>
                <w:sz w:val="21"/>
                <w:szCs w:val="21"/>
              </w:rPr>
            </w:pPr>
            <w:r>
              <w:rPr>
                <w:rFonts w:ascii="宋体" w:hAnsi="宋体" w:cs="宋体"/>
                <w:color w:val="auto"/>
                <w:kern w:val="0"/>
                <w:sz w:val="21"/>
                <w:szCs w:val="21"/>
              </w:rPr>
              <w:t>01</w:t>
            </w:r>
          </w:p>
        </w:tc>
        <w:tc>
          <w:tcPr>
            <w:tcW w:w="2026" w:type="dxa"/>
            <w:vAlign w:val="center"/>
          </w:tcPr>
          <w:p w14:paraId="7CCD9691">
            <w:pPr>
              <w:widowControl/>
              <w:numPr>
                <w:ilvl w:val="0"/>
                <w:numId w:val="0"/>
              </w:numPr>
              <w:tabs>
                <w:tab w:val="left" w:pos="360"/>
              </w:tabs>
              <w:spacing w:line="240" w:lineRule="auto"/>
              <w:ind w:left="0" w:firstLine="0"/>
              <w:jc w:val="center"/>
              <w:textAlignment w:val="center"/>
              <w:rPr>
                <w:rFonts w:ascii="宋体" w:hAnsi="宋体" w:cs="宋体"/>
                <w:color w:val="auto"/>
                <w:sz w:val="21"/>
                <w:szCs w:val="21"/>
              </w:rPr>
            </w:pPr>
            <w:r>
              <w:rPr>
                <w:rFonts w:hint="eastAsia" w:ascii="宋体"/>
                <w:color w:val="auto"/>
                <w:sz w:val="21"/>
                <w:szCs w:val="21"/>
              </w:rPr>
              <w:t>土石方工程</w:t>
            </w:r>
          </w:p>
        </w:tc>
        <w:tc>
          <w:tcPr>
            <w:tcW w:w="6904" w:type="dxa"/>
            <w:vAlign w:val="center"/>
          </w:tcPr>
          <w:p w14:paraId="6D4BE4AF">
            <w:pPr>
              <w:widowControl/>
              <w:numPr>
                <w:ilvl w:val="0"/>
                <w:numId w:val="0"/>
              </w:numPr>
              <w:tabs>
                <w:tab w:val="left" w:pos="360"/>
              </w:tabs>
              <w:spacing w:line="240" w:lineRule="auto"/>
              <w:ind w:left="0" w:firstLine="0"/>
              <w:jc w:val="left"/>
              <w:textAlignment w:val="center"/>
              <w:rPr>
                <w:rFonts w:ascii="宋体" w:hAnsi="宋体" w:cs="宋体"/>
                <w:color w:val="auto"/>
                <w:sz w:val="21"/>
                <w:szCs w:val="21"/>
              </w:rPr>
            </w:pPr>
            <w:r>
              <w:rPr>
                <w:rFonts w:hint="eastAsia" w:ascii="宋体" w:hAnsi="宋体"/>
                <w:color w:val="auto"/>
                <w:sz w:val="21"/>
                <w:szCs w:val="21"/>
              </w:rPr>
              <w:t>土方开挖、石方开挖、土方回填</w:t>
            </w:r>
          </w:p>
        </w:tc>
      </w:tr>
      <w:tr w14:paraId="4FF57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0751FFA4">
            <w:pPr>
              <w:numPr>
                <w:ilvl w:val="0"/>
                <w:numId w:val="0"/>
              </w:numPr>
              <w:tabs>
                <w:tab w:val="left" w:pos="360"/>
              </w:tabs>
              <w:spacing w:line="240" w:lineRule="auto"/>
              <w:ind w:left="0" w:firstLine="0"/>
              <w:jc w:val="center"/>
              <w:rPr>
                <w:rFonts w:ascii="宋体"/>
                <w:color w:val="auto"/>
                <w:sz w:val="21"/>
                <w:szCs w:val="21"/>
              </w:rPr>
            </w:pPr>
          </w:p>
        </w:tc>
        <w:tc>
          <w:tcPr>
            <w:tcW w:w="1233" w:type="dxa"/>
            <w:vMerge w:val="continue"/>
            <w:vAlign w:val="center"/>
          </w:tcPr>
          <w:p w14:paraId="5F797E03">
            <w:pPr>
              <w:numPr>
                <w:ilvl w:val="0"/>
                <w:numId w:val="0"/>
              </w:numPr>
              <w:tabs>
                <w:tab w:val="left" w:pos="360"/>
              </w:tabs>
              <w:spacing w:line="240" w:lineRule="auto"/>
              <w:ind w:left="0" w:firstLine="0"/>
              <w:jc w:val="center"/>
              <w:rPr>
                <w:rFonts w:ascii="宋体"/>
                <w:color w:val="auto"/>
                <w:sz w:val="21"/>
                <w:szCs w:val="21"/>
              </w:rPr>
            </w:pPr>
          </w:p>
        </w:tc>
        <w:tc>
          <w:tcPr>
            <w:tcW w:w="709" w:type="dxa"/>
            <w:vMerge w:val="continue"/>
            <w:vAlign w:val="center"/>
          </w:tcPr>
          <w:p w14:paraId="4E2228C8">
            <w:pPr>
              <w:numPr>
                <w:ilvl w:val="0"/>
                <w:numId w:val="0"/>
              </w:numPr>
              <w:tabs>
                <w:tab w:val="left" w:pos="360"/>
              </w:tabs>
              <w:spacing w:line="240" w:lineRule="auto"/>
              <w:ind w:left="0" w:firstLine="0"/>
              <w:jc w:val="center"/>
              <w:rPr>
                <w:rFonts w:ascii="宋体"/>
                <w:color w:val="auto"/>
                <w:sz w:val="21"/>
                <w:szCs w:val="21"/>
              </w:rPr>
            </w:pPr>
          </w:p>
        </w:tc>
        <w:tc>
          <w:tcPr>
            <w:tcW w:w="1843" w:type="dxa"/>
            <w:vMerge w:val="continue"/>
            <w:vAlign w:val="center"/>
          </w:tcPr>
          <w:p w14:paraId="361FD724">
            <w:pPr>
              <w:widowControl/>
              <w:numPr>
                <w:ilvl w:val="0"/>
                <w:numId w:val="0"/>
              </w:numPr>
              <w:tabs>
                <w:tab w:val="left" w:pos="360"/>
              </w:tabs>
              <w:spacing w:line="240" w:lineRule="auto"/>
              <w:ind w:left="0" w:firstLine="0"/>
              <w:jc w:val="center"/>
              <w:textAlignment w:val="center"/>
              <w:rPr>
                <w:rFonts w:ascii="宋体" w:hAnsi="宋体" w:cs="宋体"/>
                <w:color w:val="auto"/>
                <w:sz w:val="21"/>
                <w:szCs w:val="21"/>
              </w:rPr>
            </w:pPr>
          </w:p>
        </w:tc>
        <w:tc>
          <w:tcPr>
            <w:tcW w:w="709" w:type="dxa"/>
            <w:vAlign w:val="center"/>
          </w:tcPr>
          <w:p w14:paraId="272560D7">
            <w:pPr>
              <w:widowControl/>
              <w:numPr>
                <w:ilvl w:val="0"/>
                <w:numId w:val="0"/>
              </w:numPr>
              <w:tabs>
                <w:tab w:val="left" w:pos="360"/>
              </w:tabs>
              <w:spacing w:line="240" w:lineRule="auto"/>
              <w:ind w:left="0" w:firstLine="0"/>
              <w:jc w:val="center"/>
              <w:textAlignment w:val="center"/>
              <w:rPr>
                <w:rFonts w:ascii="宋体" w:hAnsi="宋体" w:cs="宋体"/>
                <w:color w:val="auto"/>
                <w:sz w:val="21"/>
                <w:szCs w:val="21"/>
              </w:rPr>
            </w:pPr>
            <w:r>
              <w:rPr>
                <w:rFonts w:ascii="宋体" w:hAnsi="宋体" w:cs="宋体"/>
                <w:color w:val="auto"/>
                <w:kern w:val="0"/>
                <w:sz w:val="21"/>
                <w:szCs w:val="21"/>
              </w:rPr>
              <w:t>02</w:t>
            </w:r>
          </w:p>
        </w:tc>
        <w:tc>
          <w:tcPr>
            <w:tcW w:w="2026" w:type="dxa"/>
            <w:vAlign w:val="center"/>
          </w:tcPr>
          <w:p w14:paraId="7ADE9E84">
            <w:pPr>
              <w:widowControl/>
              <w:numPr>
                <w:ilvl w:val="0"/>
                <w:numId w:val="0"/>
              </w:numPr>
              <w:tabs>
                <w:tab w:val="left" w:pos="360"/>
              </w:tabs>
              <w:spacing w:line="240" w:lineRule="auto"/>
              <w:ind w:left="0" w:firstLine="0"/>
              <w:jc w:val="center"/>
              <w:textAlignment w:val="center"/>
              <w:rPr>
                <w:rFonts w:ascii="宋体" w:hAnsi="宋体" w:cs="宋体"/>
                <w:color w:val="auto"/>
                <w:sz w:val="21"/>
                <w:szCs w:val="21"/>
              </w:rPr>
            </w:pPr>
            <w:r>
              <w:rPr>
                <w:rFonts w:hint="eastAsia" w:ascii="宋体" w:hAnsi="宋体"/>
                <w:color w:val="auto"/>
                <w:sz w:val="21"/>
                <w:szCs w:val="21"/>
              </w:rPr>
              <w:t>光伏支架基础</w:t>
            </w:r>
          </w:p>
        </w:tc>
        <w:tc>
          <w:tcPr>
            <w:tcW w:w="6904" w:type="dxa"/>
            <w:vAlign w:val="center"/>
          </w:tcPr>
          <w:p w14:paraId="2A047CE6">
            <w:pPr>
              <w:widowControl/>
              <w:numPr>
                <w:ilvl w:val="0"/>
                <w:numId w:val="0"/>
              </w:numPr>
              <w:tabs>
                <w:tab w:val="left" w:pos="360"/>
              </w:tabs>
              <w:spacing w:line="240" w:lineRule="auto"/>
              <w:ind w:left="0" w:firstLine="0"/>
              <w:jc w:val="left"/>
              <w:textAlignment w:val="center"/>
              <w:rPr>
                <w:rFonts w:ascii="宋体" w:hAnsi="宋体" w:cs="宋体"/>
                <w:color w:val="auto"/>
                <w:sz w:val="21"/>
                <w:szCs w:val="21"/>
              </w:rPr>
            </w:pPr>
            <w:r>
              <w:rPr>
                <w:rFonts w:hint="eastAsia" w:ascii="宋体" w:hAnsi="宋体"/>
                <w:color w:val="auto"/>
                <w:sz w:val="21"/>
                <w:szCs w:val="21"/>
              </w:rPr>
              <w:t>螺旋桩、灌注桩、预应力管桩、型钢桩、扩展式基础、锚杆</w:t>
            </w:r>
          </w:p>
        </w:tc>
      </w:tr>
      <w:tr w14:paraId="0DF4B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0D2D2755">
            <w:pPr>
              <w:numPr>
                <w:ilvl w:val="0"/>
                <w:numId w:val="0"/>
              </w:numPr>
              <w:tabs>
                <w:tab w:val="left" w:pos="360"/>
              </w:tabs>
              <w:spacing w:line="240" w:lineRule="auto"/>
              <w:ind w:left="0" w:firstLine="0"/>
              <w:jc w:val="center"/>
              <w:rPr>
                <w:rFonts w:ascii="宋体"/>
                <w:color w:val="auto"/>
                <w:sz w:val="21"/>
                <w:szCs w:val="21"/>
              </w:rPr>
            </w:pPr>
          </w:p>
        </w:tc>
        <w:tc>
          <w:tcPr>
            <w:tcW w:w="1233" w:type="dxa"/>
            <w:vMerge w:val="continue"/>
            <w:vAlign w:val="center"/>
          </w:tcPr>
          <w:p w14:paraId="08DDA437">
            <w:pPr>
              <w:numPr>
                <w:ilvl w:val="0"/>
                <w:numId w:val="0"/>
              </w:numPr>
              <w:tabs>
                <w:tab w:val="left" w:pos="360"/>
              </w:tabs>
              <w:spacing w:line="240" w:lineRule="auto"/>
              <w:ind w:left="0" w:firstLine="0"/>
              <w:jc w:val="center"/>
              <w:rPr>
                <w:rFonts w:ascii="宋体"/>
                <w:color w:val="auto"/>
                <w:sz w:val="21"/>
                <w:szCs w:val="21"/>
              </w:rPr>
            </w:pPr>
          </w:p>
        </w:tc>
        <w:tc>
          <w:tcPr>
            <w:tcW w:w="709" w:type="dxa"/>
            <w:vMerge w:val="continue"/>
            <w:vAlign w:val="center"/>
          </w:tcPr>
          <w:p w14:paraId="4FD5E7AD">
            <w:pPr>
              <w:numPr>
                <w:ilvl w:val="0"/>
                <w:numId w:val="0"/>
              </w:numPr>
              <w:tabs>
                <w:tab w:val="left" w:pos="360"/>
              </w:tabs>
              <w:spacing w:line="240" w:lineRule="auto"/>
              <w:ind w:left="0" w:firstLine="0"/>
              <w:jc w:val="center"/>
              <w:rPr>
                <w:rFonts w:ascii="宋体"/>
                <w:color w:val="auto"/>
                <w:sz w:val="21"/>
                <w:szCs w:val="21"/>
              </w:rPr>
            </w:pPr>
          </w:p>
        </w:tc>
        <w:tc>
          <w:tcPr>
            <w:tcW w:w="1843" w:type="dxa"/>
            <w:vMerge w:val="continue"/>
            <w:vAlign w:val="center"/>
          </w:tcPr>
          <w:p w14:paraId="76B5474F">
            <w:pPr>
              <w:widowControl/>
              <w:numPr>
                <w:ilvl w:val="0"/>
                <w:numId w:val="0"/>
              </w:numPr>
              <w:tabs>
                <w:tab w:val="left" w:pos="360"/>
              </w:tabs>
              <w:spacing w:line="240" w:lineRule="auto"/>
              <w:ind w:left="0" w:firstLine="0"/>
              <w:jc w:val="center"/>
              <w:textAlignment w:val="center"/>
              <w:rPr>
                <w:rFonts w:ascii="宋体" w:hAnsi="宋体" w:cs="宋体"/>
                <w:color w:val="auto"/>
                <w:sz w:val="21"/>
                <w:szCs w:val="21"/>
              </w:rPr>
            </w:pPr>
          </w:p>
        </w:tc>
        <w:tc>
          <w:tcPr>
            <w:tcW w:w="709" w:type="dxa"/>
            <w:vAlign w:val="center"/>
          </w:tcPr>
          <w:p w14:paraId="1CA29CED">
            <w:pPr>
              <w:widowControl/>
              <w:numPr>
                <w:ilvl w:val="0"/>
                <w:numId w:val="0"/>
              </w:numPr>
              <w:tabs>
                <w:tab w:val="left" w:pos="360"/>
              </w:tabs>
              <w:spacing w:line="240" w:lineRule="auto"/>
              <w:ind w:left="0" w:firstLine="0"/>
              <w:jc w:val="center"/>
              <w:textAlignment w:val="center"/>
              <w:rPr>
                <w:rFonts w:ascii="宋体" w:hAnsi="宋体" w:cs="宋体"/>
                <w:color w:val="auto"/>
                <w:sz w:val="21"/>
                <w:szCs w:val="21"/>
              </w:rPr>
            </w:pPr>
            <w:r>
              <w:rPr>
                <w:rFonts w:ascii="宋体" w:hAnsi="宋体" w:cs="宋体"/>
                <w:color w:val="auto"/>
                <w:kern w:val="0"/>
                <w:sz w:val="21"/>
                <w:szCs w:val="21"/>
              </w:rPr>
              <w:t>03</w:t>
            </w:r>
          </w:p>
        </w:tc>
        <w:tc>
          <w:tcPr>
            <w:tcW w:w="2026" w:type="dxa"/>
            <w:vAlign w:val="center"/>
          </w:tcPr>
          <w:p w14:paraId="0E93F7FF">
            <w:pPr>
              <w:widowControl/>
              <w:numPr>
                <w:ilvl w:val="0"/>
                <w:numId w:val="0"/>
              </w:numPr>
              <w:tabs>
                <w:tab w:val="left" w:pos="360"/>
              </w:tabs>
              <w:spacing w:line="240" w:lineRule="auto"/>
              <w:ind w:left="0" w:firstLine="0"/>
              <w:jc w:val="center"/>
              <w:textAlignment w:val="center"/>
              <w:rPr>
                <w:rFonts w:ascii="宋体" w:hAnsi="宋体" w:cs="宋体"/>
                <w:color w:val="auto"/>
                <w:sz w:val="21"/>
                <w:szCs w:val="21"/>
              </w:rPr>
            </w:pPr>
            <w:r>
              <w:rPr>
                <w:rFonts w:hint="eastAsia" w:ascii="宋体" w:hAnsi="宋体" w:cs="宋体"/>
                <w:color w:val="auto"/>
                <w:sz w:val="21"/>
                <w:szCs w:val="21"/>
              </w:rPr>
              <w:t>电气设备基础</w:t>
            </w:r>
          </w:p>
        </w:tc>
        <w:tc>
          <w:tcPr>
            <w:tcW w:w="6904" w:type="dxa"/>
            <w:vAlign w:val="center"/>
          </w:tcPr>
          <w:p w14:paraId="14989D59">
            <w:pPr>
              <w:widowControl/>
              <w:numPr>
                <w:ilvl w:val="0"/>
                <w:numId w:val="0"/>
              </w:numPr>
              <w:tabs>
                <w:tab w:val="left" w:pos="360"/>
              </w:tabs>
              <w:spacing w:line="240" w:lineRule="auto"/>
              <w:ind w:left="0" w:firstLine="0"/>
              <w:jc w:val="left"/>
              <w:textAlignment w:val="center"/>
              <w:rPr>
                <w:rFonts w:ascii="宋体" w:hAnsi="宋体" w:cs="宋体"/>
                <w:color w:val="auto"/>
                <w:sz w:val="21"/>
                <w:szCs w:val="21"/>
              </w:rPr>
            </w:pPr>
            <w:r>
              <w:rPr>
                <w:rFonts w:hint="eastAsia" w:ascii="宋体" w:hAnsi="宋体" w:cs="宋体"/>
                <w:color w:val="auto"/>
                <w:sz w:val="21"/>
                <w:szCs w:val="21"/>
              </w:rPr>
              <w:t>桩基础、混凝土基础、防火墙、钢结构平台、储油池</w:t>
            </w:r>
          </w:p>
        </w:tc>
      </w:tr>
      <w:tr w14:paraId="0C67C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688CA32">
            <w:pPr>
              <w:numPr>
                <w:ilvl w:val="0"/>
                <w:numId w:val="0"/>
              </w:numPr>
              <w:tabs>
                <w:tab w:val="left" w:pos="360"/>
              </w:tabs>
              <w:spacing w:line="240" w:lineRule="auto"/>
              <w:ind w:left="0" w:firstLine="0"/>
              <w:jc w:val="center"/>
              <w:rPr>
                <w:rFonts w:ascii="宋体"/>
                <w:color w:val="auto"/>
                <w:sz w:val="21"/>
                <w:szCs w:val="21"/>
              </w:rPr>
            </w:pPr>
          </w:p>
        </w:tc>
        <w:tc>
          <w:tcPr>
            <w:tcW w:w="1233" w:type="dxa"/>
            <w:vMerge w:val="continue"/>
            <w:vAlign w:val="center"/>
          </w:tcPr>
          <w:p w14:paraId="32F1BDF7">
            <w:pPr>
              <w:numPr>
                <w:ilvl w:val="0"/>
                <w:numId w:val="0"/>
              </w:numPr>
              <w:tabs>
                <w:tab w:val="left" w:pos="360"/>
              </w:tabs>
              <w:spacing w:line="240" w:lineRule="auto"/>
              <w:ind w:left="0" w:firstLine="0"/>
              <w:jc w:val="center"/>
              <w:rPr>
                <w:rFonts w:ascii="宋体"/>
                <w:color w:val="auto"/>
                <w:sz w:val="21"/>
                <w:szCs w:val="21"/>
              </w:rPr>
            </w:pPr>
          </w:p>
        </w:tc>
        <w:tc>
          <w:tcPr>
            <w:tcW w:w="709" w:type="dxa"/>
            <w:vMerge w:val="continue"/>
            <w:vAlign w:val="center"/>
          </w:tcPr>
          <w:p w14:paraId="07562117">
            <w:pPr>
              <w:numPr>
                <w:ilvl w:val="0"/>
                <w:numId w:val="0"/>
              </w:numPr>
              <w:tabs>
                <w:tab w:val="left" w:pos="360"/>
              </w:tabs>
              <w:spacing w:line="240" w:lineRule="auto"/>
              <w:ind w:left="0" w:firstLine="0"/>
              <w:jc w:val="center"/>
              <w:rPr>
                <w:rFonts w:ascii="宋体"/>
                <w:color w:val="auto"/>
                <w:sz w:val="21"/>
                <w:szCs w:val="21"/>
              </w:rPr>
            </w:pPr>
          </w:p>
        </w:tc>
        <w:tc>
          <w:tcPr>
            <w:tcW w:w="1843" w:type="dxa"/>
            <w:vMerge w:val="continue"/>
            <w:vAlign w:val="center"/>
          </w:tcPr>
          <w:p w14:paraId="7E2DA4E5">
            <w:pPr>
              <w:widowControl/>
              <w:numPr>
                <w:ilvl w:val="0"/>
                <w:numId w:val="0"/>
              </w:numPr>
              <w:tabs>
                <w:tab w:val="left" w:pos="360"/>
              </w:tabs>
              <w:spacing w:line="240" w:lineRule="auto"/>
              <w:ind w:left="0" w:firstLine="0"/>
              <w:jc w:val="center"/>
              <w:textAlignment w:val="center"/>
              <w:rPr>
                <w:rFonts w:ascii="宋体" w:hAnsi="宋体" w:cs="宋体"/>
                <w:color w:val="auto"/>
                <w:sz w:val="21"/>
                <w:szCs w:val="21"/>
              </w:rPr>
            </w:pPr>
          </w:p>
        </w:tc>
        <w:tc>
          <w:tcPr>
            <w:tcW w:w="709" w:type="dxa"/>
            <w:vAlign w:val="center"/>
          </w:tcPr>
          <w:p w14:paraId="68DC9A5E">
            <w:pPr>
              <w:widowControl/>
              <w:numPr>
                <w:ilvl w:val="0"/>
                <w:numId w:val="0"/>
              </w:numPr>
              <w:tabs>
                <w:tab w:val="left" w:pos="360"/>
              </w:tabs>
              <w:spacing w:line="240" w:lineRule="auto"/>
              <w:ind w:left="0" w:firstLine="0"/>
              <w:jc w:val="center"/>
              <w:textAlignment w:val="center"/>
              <w:rPr>
                <w:rFonts w:ascii="宋体" w:hAnsi="宋体" w:cs="宋体"/>
                <w:color w:val="auto"/>
                <w:kern w:val="0"/>
                <w:sz w:val="21"/>
                <w:szCs w:val="21"/>
              </w:rPr>
            </w:pPr>
            <w:r>
              <w:rPr>
                <w:rFonts w:ascii="宋体" w:hAnsi="宋体" w:cs="宋体"/>
                <w:color w:val="auto"/>
                <w:kern w:val="0"/>
                <w:sz w:val="21"/>
                <w:szCs w:val="21"/>
              </w:rPr>
              <w:t>04</w:t>
            </w:r>
          </w:p>
        </w:tc>
        <w:tc>
          <w:tcPr>
            <w:tcW w:w="2026" w:type="dxa"/>
            <w:vAlign w:val="center"/>
          </w:tcPr>
          <w:p w14:paraId="01015E96">
            <w:pPr>
              <w:widowControl/>
              <w:numPr>
                <w:ilvl w:val="0"/>
                <w:numId w:val="0"/>
              </w:numPr>
              <w:tabs>
                <w:tab w:val="left" w:pos="360"/>
              </w:tabs>
              <w:spacing w:line="240" w:lineRule="auto"/>
              <w:ind w:left="0" w:firstLine="0"/>
              <w:jc w:val="center"/>
              <w:textAlignment w:val="center"/>
              <w:rPr>
                <w:rFonts w:ascii="宋体" w:hAnsi="宋体" w:cs="宋体"/>
                <w:color w:val="auto"/>
                <w:sz w:val="21"/>
                <w:szCs w:val="21"/>
              </w:rPr>
            </w:pPr>
            <w:r>
              <w:rPr>
                <w:rFonts w:hint="eastAsia" w:ascii="宋体" w:hAnsi="宋体"/>
                <w:color w:val="auto"/>
                <w:sz w:val="21"/>
                <w:szCs w:val="21"/>
              </w:rPr>
              <w:t>防雷接地装置</w:t>
            </w:r>
          </w:p>
        </w:tc>
        <w:tc>
          <w:tcPr>
            <w:tcW w:w="6904" w:type="dxa"/>
            <w:vAlign w:val="center"/>
          </w:tcPr>
          <w:p w14:paraId="1A1DCCFA">
            <w:pPr>
              <w:widowControl/>
              <w:numPr>
                <w:ilvl w:val="0"/>
                <w:numId w:val="0"/>
              </w:numPr>
              <w:tabs>
                <w:tab w:val="left" w:pos="360"/>
              </w:tabs>
              <w:spacing w:line="240" w:lineRule="auto"/>
              <w:ind w:left="0" w:firstLine="0"/>
              <w:jc w:val="left"/>
              <w:textAlignment w:val="center"/>
              <w:rPr>
                <w:rFonts w:ascii="宋体" w:hAnsi="宋体" w:cs="宋体"/>
                <w:color w:val="auto"/>
                <w:sz w:val="21"/>
                <w:szCs w:val="21"/>
              </w:rPr>
            </w:pPr>
            <w:r>
              <w:rPr>
                <w:rFonts w:hint="eastAsia" w:ascii="宋体" w:hAnsi="宋体" w:cs="宋体"/>
                <w:color w:val="auto"/>
                <w:sz w:val="21"/>
                <w:szCs w:val="21"/>
              </w:rPr>
              <w:t>接地网安装、接地电阻测试</w:t>
            </w:r>
          </w:p>
        </w:tc>
      </w:tr>
      <w:tr w14:paraId="1746A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6BEF1646">
            <w:pPr>
              <w:numPr>
                <w:ilvl w:val="0"/>
                <w:numId w:val="0"/>
              </w:numPr>
              <w:tabs>
                <w:tab w:val="left" w:pos="360"/>
              </w:tabs>
              <w:spacing w:line="240" w:lineRule="auto"/>
              <w:ind w:left="0" w:firstLine="0"/>
              <w:jc w:val="center"/>
              <w:rPr>
                <w:rFonts w:ascii="宋体"/>
                <w:color w:val="auto"/>
                <w:sz w:val="21"/>
                <w:szCs w:val="21"/>
              </w:rPr>
            </w:pPr>
          </w:p>
        </w:tc>
        <w:tc>
          <w:tcPr>
            <w:tcW w:w="1233" w:type="dxa"/>
            <w:vMerge w:val="continue"/>
            <w:vAlign w:val="center"/>
          </w:tcPr>
          <w:p w14:paraId="72CC767D">
            <w:pPr>
              <w:numPr>
                <w:ilvl w:val="0"/>
                <w:numId w:val="0"/>
              </w:numPr>
              <w:tabs>
                <w:tab w:val="left" w:pos="360"/>
              </w:tabs>
              <w:spacing w:line="240" w:lineRule="auto"/>
              <w:ind w:left="0" w:firstLine="0"/>
              <w:jc w:val="center"/>
              <w:rPr>
                <w:rFonts w:ascii="宋体"/>
                <w:color w:val="auto"/>
                <w:sz w:val="21"/>
                <w:szCs w:val="21"/>
              </w:rPr>
            </w:pPr>
          </w:p>
        </w:tc>
        <w:tc>
          <w:tcPr>
            <w:tcW w:w="709" w:type="dxa"/>
            <w:vMerge w:val="continue"/>
            <w:vAlign w:val="center"/>
          </w:tcPr>
          <w:p w14:paraId="23416221">
            <w:pPr>
              <w:numPr>
                <w:ilvl w:val="0"/>
                <w:numId w:val="0"/>
              </w:numPr>
              <w:tabs>
                <w:tab w:val="left" w:pos="360"/>
              </w:tabs>
              <w:spacing w:line="240" w:lineRule="auto"/>
              <w:ind w:left="0" w:firstLine="0"/>
              <w:jc w:val="center"/>
              <w:rPr>
                <w:rFonts w:ascii="宋体"/>
                <w:color w:val="auto"/>
                <w:sz w:val="21"/>
                <w:szCs w:val="21"/>
              </w:rPr>
            </w:pPr>
          </w:p>
        </w:tc>
        <w:tc>
          <w:tcPr>
            <w:tcW w:w="1843" w:type="dxa"/>
            <w:vMerge w:val="continue"/>
            <w:vAlign w:val="center"/>
          </w:tcPr>
          <w:p w14:paraId="3F078331">
            <w:pPr>
              <w:widowControl/>
              <w:numPr>
                <w:ilvl w:val="0"/>
                <w:numId w:val="0"/>
              </w:numPr>
              <w:tabs>
                <w:tab w:val="left" w:pos="360"/>
              </w:tabs>
              <w:spacing w:line="240" w:lineRule="auto"/>
              <w:ind w:left="0" w:firstLine="0"/>
              <w:jc w:val="center"/>
              <w:textAlignment w:val="center"/>
              <w:rPr>
                <w:rFonts w:ascii="宋体" w:hAnsi="宋体" w:cs="宋体"/>
                <w:color w:val="auto"/>
                <w:sz w:val="21"/>
                <w:szCs w:val="21"/>
              </w:rPr>
            </w:pPr>
          </w:p>
        </w:tc>
        <w:tc>
          <w:tcPr>
            <w:tcW w:w="709" w:type="dxa"/>
            <w:vAlign w:val="center"/>
          </w:tcPr>
          <w:p w14:paraId="7632DD6F">
            <w:pPr>
              <w:widowControl/>
              <w:numPr>
                <w:ilvl w:val="0"/>
                <w:numId w:val="0"/>
              </w:numPr>
              <w:tabs>
                <w:tab w:val="left" w:pos="360"/>
              </w:tabs>
              <w:spacing w:line="240" w:lineRule="auto"/>
              <w:ind w:left="0" w:firstLine="0"/>
              <w:jc w:val="center"/>
              <w:textAlignment w:val="center"/>
              <w:rPr>
                <w:rFonts w:ascii="宋体" w:hAnsi="宋体" w:cs="宋体"/>
                <w:color w:val="auto"/>
                <w:kern w:val="0"/>
                <w:sz w:val="21"/>
                <w:szCs w:val="21"/>
              </w:rPr>
            </w:pPr>
            <w:r>
              <w:rPr>
                <w:rFonts w:ascii="宋体" w:hAnsi="宋体" w:cs="宋体"/>
                <w:color w:val="auto"/>
                <w:kern w:val="0"/>
                <w:sz w:val="21"/>
                <w:szCs w:val="21"/>
              </w:rPr>
              <w:t>05</w:t>
            </w:r>
          </w:p>
        </w:tc>
        <w:tc>
          <w:tcPr>
            <w:tcW w:w="2026" w:type="dxa"/>
            <w:vAlign w:val="center"/>
          </w:tcPr>
          <w:p w14:paraId="0B6F3421">
            <w:pPr>
              <w:widowControl/>
              <w:numPr>
                <w:ilvl w:val="0"/>
                <w:numId w:val="0"/>
              </w:numPr>
              <w:tabs>
                <w:tab w:val="left" w:pos="360"/>
              </w:tabs>
              <w:spacing w:line="240" w:lineRule="auto"/>
              <w:ind w:left="0" w:firstLine="0"/>
              <w:jc w:val="center"/>
              <w:textAlignment w:val="center"/>
              <w:rPr>
                <w:rFonts w:ascii="宋体" w:hAnsi="宋体"/>
                <w:color w:val="auto"/>
                <w:sz w:val="21"/>
                <w:szCs w:val="21"/>
              </w:rPr>
            </w:pPr>
            <w:r>
              <w:rPr>
                <w:rFonts w:hint="eastAsia" w:ascii="宋体" w:hAnsi="宋体"/>
                <w:color w:val="auto"/>
                <w:sz w:val="21"/>
                <w:szCs w:val="21"/>
              </w:rPr>
              <w:t>围栏</w:t>
            </w:r>
          </w:p>
        </w:tc>
        <w:tc>
          <w:tcPr>
            <w:tcW w:w="6904" w:type="dxa"/>
            <w:vAlign w:val="center"/>
          </w:tcPr>
          <w:p w14:paraId="451CD2A0">
            <w:pPr>
              <w:widowControl/>
              <w:numPr>
                <w:ilvl w:val="0"/>
                <w:numId w:val="0"/>
              </w:numPr>
              <w:tabs>
                <w:tab w:val="left" w:pos="360"/>
              </w:tabs>
              <w:spacing w:line="240" w:lineRule="auto"/>
              <w:ind w:left="0" w:firstLine="0"/>
              <w:jc w:val="left"/>
              <w:textAlignment w:val="center"/>
              <w:rPr>
                <w:rFonts w:ascii="宋体" w:hAnsi="宋体" w:cs="宋体"/>
                <w:color w:val="auto"/>
                <w:sz w:val="21"/>
                <w:szCs w:val="21"/>
              </w:rPr>
            </w:pPr>
            <w:r>
              <w:rPr>
                <w:rFonts w:hint="eastAsia" w:ascii="宋体" w:hAnsi="宋体" w:cs="宋体"/>
                <w:color w:val="auto"/>
                <w:sz w:val="21"/>
                <w:szCs w:val="21"/>
              </w:rPr>
              <w:t>定位及高程控制、基础砌筑、围栏安装</w:t>
            </w:r>
          </w:p>
        </w:tc>
      </w:tr>
    </w:tbl>
    <w:p w14:paraId="40248476">
      <w:pPr>
        <w:rPr>
          <w:color w:val="auto"/>
        </w:rPr>
      </w:pPr>
    </w:p>
    <w:p w14:paraId="2CC286E3">
      <w:pPr>
        <w:widowControl/>
        <w:adjustRightInd/>
        <w:snapToGrid/>
        <w:spacing w:line="240" w:lineRule="auto"/>
        <w:jc w:val="left"/>
      </w:pPr>
      <w:r>
        <w:br w:type="page"/>
      </w:r>
    </w:p>
    <w:p w14:paraId="6860FB5C">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pPr>
      <w:bookmarkStart w:id="110" w:name="_Toc92737151"/>
      <w:bookmarkStart w:id="111" w:name="_Toc1057"/>
      <w:r>
        <w:rPr>
          <w:rFonts w:hint="eastAsia" w:eastAsia="宋体"/>
        </w:rPr>
        <w:t>附录F</w:t>
      </w:r>
      <w:r>
        <w:rPr>
          <w:rFonts w:hint="eastAsia"/>
          <w:lang w:val="en-US" w:eastAsia="zh-CN"/>
        </w:rPr>
        <w:t xml:space="preserve">  </w:t>
      </w:r>
      <w:r>
        <w:rPr>
          <w:rFonts w:hint="eastAsia" w:eastAsia="宋体"/>
        </w:rPr>
        <w:t>光伏区安装工程质量验收范围划分表</w:t>
      </w:r>
      <w:bookmarkEnd w:id="110"/>
      <w:bookmarkEnd w:id="111"/>
    </w:p>
    <w:p w14:paraId="3D4C0F2D">
      <w:pPr>
        <w:spacing w:line="240" w:lineRule="auto"/>
        <w:jc w:val="center"/>
        <w:rPr>
          <w:rFonts w:hint="eastAsia" w:ascii="黑体" w:hAnsi="黑体" w:eastAsia="黑体" w:cs="黑体"/>
          <w:sz w:val="28"/>
          <w:szCs w:val="28"/>
        </w:rPr>
      </w:pPr>
      <w:r>
        <w:rPr>
          <w:rFonts w:hint="eastAsia" w:ascii="黑体" w:hAnsi="黑体" w:eastAsia="黑体" w:cs="黑体"/>
          <w:sz w:val="28"/>
          <w:szCs w:val="28"/>
        </w:rPr>
        <w:t>表</w:t>
      </w:r>
      <w:r>
        <w:rPr>
          <w:rFonts w:hint="default" w:ascii="Times New Roman" w:hAnsi="Times New Roman" w:eastAsia="黑体" w:cs="Times New Roman"/>
          <w:b/>
          <w:bCs/>
          <w:sz w:val="28"/>
          <w:szCs w:val="28"/>
        </w:rPr>
        <w:t>F</w:t>
      </w:r>
      <w:r>
        <w:rPr>
          <w:rFonts w:hint="eastAsia"/>
          <w:lang w:val="en-US" w:eastAsia="zh-CN"/>
        </w:rPr>
        <w:t xml:space="preserve">  </w:t>
      </w:r>
      <w:r>
        <w:rPr>
          <w:rFonts w:hint="eastAsia" w:ascii="黑体" w:hAnsi="黑体" w:eastAsia="黑体" w:cs="黑体"/>
          <w:sz w:val="28"/>
          <w:szCs w:val="28"/>
        </w:rPr>
        <w:t>光伏区安装工程质量验收范围划分表</w:t>
      </w:r>
    </w:p>
    <w:tbl>
      <w:tblPr>
        <w:tblStyle w:val="13"/>
        <w:tblW w:w="139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4"/>
        <w:gridCol w:w="1233"/>
        <w:gridCol w:w="709"/>
        <w:gridCol w:w="1843"/>
        <w:gridCol w:w="709"/>
        <w:gridCol w:w="2026"/>
        <w:gridCol w:w="6918"/>
      </w:tblGrid>
      <w:tr w14:paraId="13AA8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restart"/>
            <w:vAlign w:val="center"/>
          </w:tcPr>
          <w:p w14:paraId="6537DD88">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233" w:type="dxa"/>
            <w:vMerge w:val="restart"/>
            <w:vAlign w:val="center"/>
          </w:tcPr>
          <w:p w14:paraId="10A30514">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单位工程</w:t>
            </w:r>
          </w:p>
        </w:tc>
        <w:tc>
          <w:tcPr>
            <w:tcW w:w="2552" w:type="dxa"/>
            <w:gridSpan w:val="2"/>
            <w:vAlign w:val="center"/>
          </w:tcPr>
          <w:p w14:paraId="2A77CE74">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分部工程</w:t>
            </w:r>
          </w:p>
        </w:tc>
        <w:tc>
          <w:tcPr>
            <w:tcW w:w="2735" w:type="dxa"/>
            <w:gridSpan w:val="2"/>
            <w:vAlign w:val="center"/>
          </w:tcPr>
          <w:p w14:paraId="32F931F7">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子分部工程</w:t>
            </w:r>
          </w:p>
        </w:tc>
        <w:tc>
          <w:tcPr>
            <w:tcW w:w="6918" w:type="dxa"/>
            <w:vMerge w:val="restart"/>
            <w:tcBorders>
              <w:top w:val="single" w:color="auto" w:sz="4" w:space="0"/>
              <w:right w:val="single" w:color="auto" w:sz="4" w:space="0"/>
            </w:tcBorders>
            <w:shd w:val="clear" w:color="auto" w:fill="auto"/>
            <w:vAlign w:val="center"/>
          </w:tcPr>
          <w:p w14:paraId="734A9F4B">
            <w:pPr>
              <w:widowControl/>
              <w:numPr>
                <w:ilvl w:val="0"/>
                <w:numId w:val="0"/>
              </w:numPr>
              <w:tabs>
                <w:tab w:val="left" w:pos="360"/>
              </w:tabs>
              <w:adjustRightInd/>
              <w:snapToGrid/>
              <w:spacing w:line="240" w:lineRule="auto"/>
              <w:ind w:left="0" w:firstLine="0"/>
              <w:jc w:val="center"/>
              <w:rPr>
                <w:rFonts w:ascii="宋体"/>
                <w:sz w:val="21"/>
                <w:szCs w:val="21"/>
              </w:rPr>
            </w:pPr>
            <w:r>
              <w:rPr>
                <w:rFonts w:hint="eastAsia" w:ascii="宋体"/>
                <w:sz w:val="21"/>
                <w:szCs w:val="21"/>
              </w:rPr>
              <w:t>分项工程</w:t>
            </w:r>
          </w:p>
        </w:tc>
      </w:tr>
      <w:tr w14:paraId="17589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continue"/>
            <w:vAlign w:val="center"/>
          </w:tcPr>
          <w:p w14:paraId="5E0ABB08">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6F8F7F74">
            <w:pPr>
              <w:numPr>
                <w:ilvl w:val="0"/>
                <w:numId w:val="0"/>
              </w:numPr>
              <w:tabs>
                <w:tab w:val="left" w:pos="360"/>
              </w:tabs>
              <w:spacing w:line="240" w:lineRule="auto"/>
              <w:ind w:left="0" w:firstLine="0"/>
              <w:jc w:val="center"/>
              <w:rPr>
                <w:rFonts w:ascii="宋体"/>
                <w:sz w:val="21"/>
                <w:szCs w:val="21"/>
              </w:rPr>
            </w:pPr>
          </w:p>
        </w:tc>
        <w:tc>
          <w:tcPr>
            <w:tcW w:w="709" w:type="dxa"/>
            <w:vAlign w:val="center"/>
          </w:tcPr>
          <w:p w14:paraId="3A706301">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843" w:type="dxa"/>
            <w:vAlign w:val="center"/>
          </w:tcPr>
          <w:p w14:paraId="6C4E307A">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709" w:type="dxa"/>
            <w:vAlign w:val="center"/>
          </w:tcPr>
          <w:p w14:paraId="0A2B936A">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2026" w:type="dxa"/>
            <w:vAlign w:val="center"/>
          </w:tcPr>
          <w:p w14:paraId="2398A33D">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6918" w:type="dxa"/>
            <w:vMerge w:val="continue"/>
            <w:tcBorders>
              <w:right w:val="single" w:color="auto" w:sz="4" w:space="0"/>
            </w:tcBorders>
            <w:vAlign w:val="center"/>
          </w:tcPr>
          <w:p w14:paraId="05069950">
            <w:pPr>
              <w:numPr>
                <w:ilvl w:val="0"/>
                <w:numId w:val="0"/>
              </w:numPr>
              <w:tabs>
                <w:tab w:val="left" w:pos="360"/>
              </w:tabs>
              <w:spacing w:line="240" w:lineRule="auto"/>
              <w:ind w:left="0" w:firstLine="0"/>
              <w:jc w:val="center"/>
              <w:rPr>
                <w:rFonts w:ascii="宋体"/>
                <w:sz w:val="21"/>
                <w:szCs w:val="21"/>
              </w:rPr>
            </w:pPr>
          </w:p>
        </w:tc>
      </w:tr>
      <w:tr w14:paraId="7401E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vAlign w:val="center"/>
          </w:tcPr>
          <w:p w14:paraId="623A0D7F">
            <w:pPr>
              <w:numPr>
                <w:ilvl w:val="0"/>
                <w:numId w:val="0"/>
              </w:numPr>
              <w:tabs>
                <w:tab w:val="left" w:pos="360"/>
              </w:tabs>
              <w:spacing w:line="240" w:lineRule="auto"/>
              <w:ind w:left="0" w:firstLine="0"/>
              <w:jc w:val="center"/>
              <w:rPr>
                <w:rFonts w:ascii="宋体"/>
                <w:sz w:val="21"/>
                <w:szCs w:val="21"/>
              </w:rPr>
            </w:pPr>
            <w:r>
              <w:rPr>
                <w:rFonts w:ascii="宋体"/>
                <w:sz w:val="21"/>
                <w:szCs w:val="21"/>
              </w:rPr>
              <w:t>06</w:t>
            </w:r>
          </w:p>
        </w:tc>
        <w:tc>
          <w:tcPr>
            <w:tcW w:w="1233" w:type="dxa"/>
            <w:vMerge w:val="restart"/>
            <w:vAlign w:val="center"/>
          </w:tcPr>
          <w:p w14:paraId="432AFA01">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光伏区安装工程</w:t>
            </w:r>
          </w:p>
        </w:tc>
        <w:tc>
          <w:tcPr>
            <w:tcW w:w="709" w:type="dxa"/>
            <w:vMerge w:val="restart"/>
            <w:vAlign w:val="center"/>
          </w:tcPr>
          <w:p w14:paraId="7FDEBC21">
            <w:pPr>
              <w:widowControl/>
              <w:numPr>
                <w:ilvl w:val="0"/>
                <w:numId w:val="0"/>
              </w:numPr>
              <w:tabs>
                <w:tab w:val="left" w:pos="360"/>
              </w:tabs>
              <w:spacing w:line="240" w:lineRule="auto"/>
              <w:ind w:left="0" w:firstLine="0"/>
              <w:jc w:val="center"/>
              <w:textAlignment w:val="top"/>
              <w:rPr>
                <w:rFonts w:ascii="宋体" w:hAnsi="宋体" w:cs="宋体"/>
                <w:sz w:val="21"/>
                <w:szCs w:val="21"/>
              </w:rPr>
            </w:pPr>
            <w:r>
              <w:rPr>
                <w:rFonts w:ascii="宋体" w:hAnsi="宋体" w:cs="宋体"/>
                <w:kern w:val="0"/>
                <w:sz w:val="21"/>
                <w:szCs w:val="21"/>
              </w:rPr>
              <w:t>01</w:t>
            </w:r>
            <w:r>
              <w:rPr>
                <w:rFonts w:hint="eastAsia" w:ascii="宋体" w:hAnsi="宋体" w:cs="宋体"/>
                <w:kern w:val="0"/>
                <w:sz w:val="21"/>
                <w:szCs w:val="21"/>
              </w:rPr>
              <w:t>~N</w:t>
            </w:r>
          </w:p>
        </w:tc>
        <w:tc>
          <w:tcPr>
            <w:tcW w:w="1843" w:type="dxa"/>
            <w:vMerge w:val="restart"/>
            <w:vAlign w:val="center"/>
          </w:tcPr>
          <w:p w14:paraId="6B4B1242">
            <w:pPr>
              <w:widowControl/>
              <w:numPr>
                <w:ilvl w:val="0"/>
                <w:numId w:val="0"/>
              </w:numPr>
              <w:tabs>
                <w:tab w:val="left" w:pos="360"/>
              </w:tabs>
              <w:spacing w:line="240" w:lineRule="auto"/>
              <w:ind w:left="0" w:firstLine="0"/>
              <w:jc w:val="center"/>
              <w:textAlignment w:val="top"/>
              <w:rPr>
                <w:rFonts w:ascii="宋体" w:hAnsi="宋体" w:cs="宋体"/>
                <w:sz w:val="21"/>
                <w:szCs w:val="21"/>
              </w:rPr>
            </w:pPr>
            <w:r>
              <w:rPr>
                <w:rFonts w:hint="eastAsia" w:ascii="宋体" w:hAnsi="宋体" w:cs="宋体"/>
                <w:sz w:val="21"/>
                <w:szCs w:val="21"/>
              </w:rPr>
              <w:t>N号光伏方阵安装</w:t>
            </w:r>
          </w:p>
        </w:tc>
        <w:tc>
          <w:tcPr>
            <w:tcW w:w="709" w:type="dxa"/>
            <w:vAlign w:val="center"/>
          </w:tcPr>
          <w:p w14:paraId="3F13C989">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ascii="宋体" w:hAnsi="宋体" w:cs="宋体"/>
                <w:kern w:val="0"/>
                <w:sz w:val="21"/>
                <w:szCs w:val="21"/>
              </w:rPr>
              <w:t>01</w:t>
            </w:r>
          </w:p>
        </w:tc>
        <w:tc>
          <w:tcPr>
            <w:tcW w:w="2026" w:type="dxa"/>
            <w:vAlign w:val="center"/>
          </w:tcPr>
          <w:p w14:paraId="7B532789">
            <w:pPr>
              <w:widowControl/>
              <w:numPr>
                <w:ilvl w:val="0"/>
                <w:numId w:val="0"/>
              </w:numPr>
              <w:tabs>
                <w:tab w:val="left" w:pos="360"/>
              </w:tabs>
              <w:ind w:left="0" w:firstLine="0"/>
              <w:jc w:val="center"/>
              <w:textAlignment w:val="top"/>
              <w:rPr>
                <w:rFonts w:ascii="宋体" w:hAnsi="宋体" w:cs="宋体"/>
                <w:sz w:val="21"/>
                <w:szCs w:val="21"/>
              </w:rPr>
            </w:pPr>
            <w:r>
              <w:rPr>
                <w:rFonts w:hint="eastAsia" w:ascii="宋体" w:hAnsi="宋体" w:cs="宋体"/>
                <w:kern w:val="0"/>
                <w:sz w:val="21"/>
                <w:szCs w:val="21"/>
              </w:rPr>
              <w:t>支架安装</w:t>
            </w:r>
          </w:p>
        </w:tc>
        <w:tc>
          <w:tcPr>
            <w:tcW w:w="6918" w:type="dxa"/>
            <w:vAlign w:val="center"/>
          </w:tcPr>
          <w:p w14:paraId="75424966">
            <w:pPr>
              <w:widowControl/>
              <w:numPr>
                <w:ilvl w:val="0"/>
                <w:numId w:val="0"/>
              </w:numPr>
              <w:tabs>
                <w:tab w:val="left" w:pos="360"/>
              </w:tabs>
              <w:ind w:left="0" w:firstLine="0"/>
              <w:jc w:val="left"/>
              <w:textAlignment w:val="center"/>
              <w:rPr>
                <w:rFonts w:ascii="宋体" w:hAnsi="宋体" w:cs="宋体"/>
                <w:sz w:val="21"/>
                <w:szCs w:val="21"/>
              </w:rPr>
            </w:pPr>
            <w:r>
              <w:rPr>
                <w:rFonts w:hint="eastAsia" w:ascii="宋体" w:hAnsi="宋体" w:cs="宋体"/>
                <w:kern w:val="0"/>
                <w:sz w:val="21"/>
                <w:szCs w:val="21"/>
              </w:rPr>
              <w:t>固定支架安装、可调支架安装、自动跟踪支架安装</w:t>
            </w:r>
          </w:p>
        </w:tc>
      </w:tr>
      <w:tr w14:paraId="1612E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6A2B09EF">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34183F68">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60FD2E6A">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630409D9">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2ED10B04">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ascii="宋体" w:hAnsi="宋体" w:cs="宋体"/>
                <w:kern w:val="0"/>
                <w:sz w:val="21"/>
                <w:szCs w:val="21"/>
              </w:rPr>
              <w:t>02</w:t>
            </w:r>
          </w:p>
        </w:tc>
        <w:tc>
          <w:tcPr>
            <w:tcW w:w="2026" w:type="dxa"/>
            <w:vAlign w:val="center"/>
          </w:tcPr>
          <w:p w14:paraId="1DFEABD9">
            <w:pPr>
              <w:widowControl/>
              <w:numPr>
                <w:ilvl w:val="0"/>
                <w:numId w:val="0"/>
              </w:numPr>
              <w:tabs>
                <w:tab w:val="left" w:pos="360"/>
              </w:tabs>
              <w:ind w:left="0" w:firstLine="0"/>
              <w:jc w:val="center"/>
              <w:textAlignment w:val="center"/>
              <w:rPr>
                <w:rFonts w:ascii="宋体" w:hAnsi="宋体" w:cs="宋体"/>
                <w:sz w:val="21"/>
                <w:szCs w:val="21"/>
              </w:rPr>
            </w:pPr>
            <w:r>
              <w:rPr>
                <w:rFonts w:hint="eastAsia" w:ascii="宋体" w:hAnsi="宋体" w:cs="宋体"/>
                <w:kern w:val="0"/>
                <w:sz w:val="20"/>
                <w:szCs w:val="20"/>
              </w:rPr>
              <w:t>组件安装</w:t>
            </w:r>
          </w:p>
        </w:tc>
        <w:tc>
          <w:tcPr>
            <w:tcW w:w="6918" w:type="dxa"/>
            <w:vAlign w:val="center"/>
          </w:tcPr>
          <w:p w14:paraId="4151A3D7">
            <w:pPr>
              <w:widowControl/>
              <w:numPr>
                <w:ilvl w:val="0"/>
                <w:numId w:val="0"/>
              </w:numPr>
              <w:tabs>
                <w:tab w:val="left" w:pos="360"/>
              </w:tabs>
              <w:ind w:left="0" w:firstLine="0"/>
              <w:jc w:val="left"/>
              <w:textAlignment w:val="center"/>
              <w:rPr>
                <w:rFonts w:ascii="宋体" w:hAnsi="宋体" w:cs="宋体"/>
                <w:kern w:val="0"/>
                <w:sz w:val="21"/>
                <w:szCs w:val="21"/>
              </w:rPr>
            </w:pPr>
            <w:r>
              <w:rPr>
                <w:rFonts w:hint="eastAsia" w:ascii="宋体" w:hAnsi="宋体" w:cs="宋体"/>
                <w:kern w:val="0"/>
                <w:sz w:val="20"/>
                <w:szCs w:val="20"/>
              </w:rPr>
              <w:t>组件安装</w:t>
            </w:r>
          </w:p>
        </w:tc>
      </w:tr>
      <w:tr w14:paraId="08AA6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6A0155EF">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18E44F48">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3B5686E5">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6D03D1FF">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5ED22724">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ascii="宋体" w:hAnsi="宋体" w:cs="宋体"/>
                <w:kern w:val="0"/>
                <w:sz w:val="21"/>
                <w:szCs w:val="21"/>
              </w:rPr>
              <w:t>03</w:t>
            </w:r>
          </w:p>
        </w:tc>
        <w:tc>
          <w:tcPr>
            <w:tcW w:w="2026" w:type="dxa"/>
            <w:vAlign w:val="center"/>
          </w:tcPr>
          <w:p w14:paraId="12FA7399">
            <w:pPr>
              <w:widowControl/>
              <w:numPr>
                <w:ilvl w:val="0"/>
                <w:numId w:val="0"/>
              </w:numPr>
              <w:tabs>
                <w:tab w:val="left" w:pos="360"/>
              </w:tabs>
              <w:ind w:left="0" w:firstLine="0"/>
              <w:jc w:val="center"/>
              <w:textAlignment w:val="center"/>
              <w:rPr>
                <w:rFonts w:ascii="宋体" w:hAnsi="宋体" w:cs="宋体"/>
                <w:sz w:val="21"/>
                <w:szCs w:val="21"/>
              </w:rPr>
            </w:pPr>
            <w:r>
              <w:rPr>
                <w:rFonts w:hint="eastAsia" w:ascii="宋体" w:hAnsi="宋体" w:cs="宋体"/>
                <w:kern w:val="0"/>
                <w:sz w:val="20"/>
                <w:szCs w:val="20"/>
              </w:rPr>
              <w:t>电气设备安装</w:t>
            </w:r>
          </w:p>
        </w:tc>
        <w:tc>
          <w:tcPr>
            <w:tcW w:w="6918" w:type="dxa"/>
            <w:vAlign w:val="center"/>
          </w:tcPr>
          <w:p w14:paraId="6208548A">
            <w:pPr>
              <w:widowControl/>
              <w:numPr>
                <w:ilvl w:val="0"/>
                <w:numId w:val="0"/>
              </w:numPr>
              <w:tabs>
                <w:tab w:val="left" w:pos="360"/>
              </w:tabs>
              <w:ind w:left="0" w:firstLine="0"/>
              <w:jc w:val="left"/>
              <w:textAlignment w:val="center"/>
              <w:rPr>
                <w:rFonts w:ascii="宋体" w:hAnsi="宋体" w:cs="宋体"/>
                <w:kern w:val="0"/>
                <w:sz w:val="21"/>
                <w:szCs w:val="21"/>
              </w:rPr>
            </w:pPr>
            <w:r>
              <w:rPr>
                <w:rFonts w:hint="eastAsia" w:ascii="宋体" w:hAnsi="宋体" w:cs="宋体"/>
                <w:kern w:val="0"/>
                <w:sz w:val="20"/>
                <w:szCs w:val="20"/>
              </w:rPr>
              <w:t>逆变器安装、箱式变压器安装</w:t>
            </w:r>
          </w:p>
        </w:tc>
      </w:tr>
      <w:tr w14:paraId="677D8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53C8DBF">
            <w:pPr>
              <w:numPr>
                <w:ilvl w:val="0"/>
                <w:numId w:val="2"/>
              </w:numPr>
              <w:tabs>
                <w:tab w:val="left" w:pos="360"/>
              </w:tabs>
              <w:spacing w:line="240" w:lineRule="auto"/>
              <w:ind w:left="0" w:firstLine="0"/>
              <w:jc w:val="center"/>
              <w:rPr>
                <w:rFonts w:ascii="宋体"/>
                <w:sz w:val="21"/>
                <w:szCs w:val="21"/>
              </w:rPr>
            </w:pPr>
          </w:p>
        </w:tc>
        <w:tc>
          <w:tcPr>
            <w:tcW w:w="1233" w:type="dxa"/>
            <w:vMerge w:val="continue"/>
            <w:vAlign w:val="center"/>
          </w:tcPr>
          <w:p w14:paraId="1CC20489">
            <w:pPr>
              <w:numPr>
                <w:ilvl w:val="0"/>
                <w:numId w:val="2"/>
              </w:numPr>
              <w:tabs>
                <w:tab w:val="left" w:pos="360"/>
              </w:tabs>
              <w:spacing w:line="240" w:lineRule="auto"/>
              <w:ind w:left="0" w:firstLine="0"/>
              <w:jc w:val="center"/>
              <w:rPr>
                <w:rFonts w:ascii="宋体"/>
                <w:sz w:val="21"/>
                <w:szCs w:val="21"/>
              </w:rPr>
            </w:pPr>
          </w:p>
        </w:tc>
        <w:tc>
          <w:tcPr>
            <w:tcW w:w="709" w:type="dxa"/>
            <w:vMerge w:val="continue"/>
            <w:vAlign w:val="center"/>
          </w:tcPr>
          <w:p w14:paraId="1AEF9EC0">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24F5A3E4">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10D8A388">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ascii="宋体" w:hAnsi="宋体" w:cs="宋体"/>
                <w:kern w:val="0"/>
                <w:sz w:val="21"/>
                <w:szCs w:val="21"/>
              </w:rPr>
              <w:t>04</w:t>
            </w:r>
          </w:p>
        </w:tc>
        <w:tc>
          <w:tcPr>
            <w:tcW w:w="2026" w:type="dxa"/>
            <w:vAlign w:val="center"/>
          </w:tcPr>
          <w:p w14:paraId="3FD5A258">
            <w:pPr>
              <w:widowControl/>
              <w:numPr>
                <w:ilvl w:val="0"/>
                <w:numId w:val="0"/>
              </w:numPr>
              <w:tabs>
                <w:tab w:val="left" w:pos="360"/>
              </w:tabs>
              <w:ind w:left="0" w:firstLine="0"/>
              <w:jc w:val="center"/>
              <w:textAlignment w:val="center"/>
              <w:rPr>
                <w:rFonts w:ascii="宋体" w:hAnsi="宋体" w:cs="宋体"/>
                <w:kern w:val="0"/>
                <w:sz w:val="20"/>
                <w:szCs w:val="18"/>
              </w:rPr>
            </w:pPr>
            <w:r>
              <w:rPr>
                <w:rFonts w:hint="eastAsia" w:ascii="宋体" w:hAnsi="宋体" w:cs="宋体"/>
                <w:kern w:val="0"/>
                <w:sz w:val="20"/>
                <w:szCs w:val="18"/>
              </w:rPr>
              <w:t>光伏区电缆施工</w:t>
            </w:r>
          </w:p>
        </w:tc>
        <w:tc>
          <w:tcPr>
            <w:tcW w:w="6918" w:type="dxa"/>
            <w:vAlign w:val="center"/>
          </w:tcPr>
          <w:p w14:paraId="45782E1E">
            <w:pPr>
              <w:widowControl/>
              <w:numPr>
                <w:ilvl w:val="0"/>
                <w:numId w:val="0"/>
              </w:numPr>
              <w:tabs>
                <w:tab w:val="left" w:pos="360"/>
              </w:tabs>
              <w:ind w:left="0" w:firstLine="0"/>
              <w:jc w:val="left"/>
              <w:textAlignment w:val="center"/>
              <w:rPr>
                <w:rFonts w:ascii="宋体" w:hAnsi="宋体" w:cs="宋体"/>
                <w:kern w:val="0"/>
                <w:sz w:val="20"/>
                <w:szCs w:val="18"/>
              </w:rPr>
            </w:pPr>
            <w:r>
              <w:rPr>
                <w:rFonts w:hint="eastAsia" w:ascii="宋体" w:hAnsi="宋体" w:cs="宋体"/>
                <w:kern w:val="0"/>
                <w:sz w:val="20"/>
                <w:szCs w:val="18"/>
              </w:rPr>
              <w:t>电缆构筑物及桥架内的电缆敷设、导管内电缆敷设、直埋电缆敷设、电力电缆终端制作及安装、控制电缆终端制作及安装、电缆防火与阻燃</w:t>
            </w:r>
          </w:p>
        </w:tc>
      </w:tr>
      <w:tr w14:paraId="70FDD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55723B7">
            <w:pPr>
              <w:numPr>
                <w:ilvl w:val="0"/>
                <w:numId w:val="2"/>
              </w:numPr>
              <w:tabs>
                <w:tab w:val="left" w:pos="360"/>
              </w:tabs>
              <w:spacing w:line="240" w:lineRule="auto"/>
              <w:ind w:left="0" w:firstLine="0"/>
              <w:jc w:val="center"/>
              <w:rPr>
                <w:rFonts w:ascii="宋体"/>
                <w:sz w:val="21"/>
                <w:szCs w:val="21"/>
              </w:rPr>
            </w:pPr>
          </w:p>
        </w:tc>
        <w:tc>
          <w:tcPr>
            <w:tcW w:w="1233" w:type="dxa"/>
            <w:vMerge w:val="continue"/>
            <w:vAlign w:val="center"/>
          </w:tcPr>
          <w:p w14:paraId="30A42640">
            <w:pPr>
              <w:numPr>
                <w:ilvl w:val="0"/>
                <w:numId w:val="2"/>
              </w:numPr>
              <w:tabs>
                <w:tab w:val="left" w:pos="360"/>
              </w:tabs>
              <w:spacing w:line="240" w:lineRule="auto"/>
              <w:ind w:left="0" w:firstLine="0"/>
              <w:jc w:val="center"/>
              <w:rPr>
                <w:rFonts w:ascii="宋体"/>
                <w:sz w:val="21"/>
                <w:szCs w:val="21"/>
              </w:rPr>
            </w:pPr>
          </w:p>
        </w:tc>
        <w:tc>
          <w:tcPr>
            <w:tcW w:w="709" w:type="dxa"/>
            <w:vMerge w:val="continue"/>
            <w:vAlign w:val="center"/>
          </w:tcPr>
          <w:p w14:paraId="4C41865E">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330B5E91">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7FCDEE65">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ascii="宋体" w:hAnsi="宋体" w:cs="宋体"/>
                <w:kern w:val="0"/>
                <w:sz w:val="21"/>
                <w:szCs w:val="21"/>
              </w:rPr>
              <w:t>05</w:t>
            </w:r>
          </w:p>
        </w:tc>
        <w:tc>
          <w:tcPr>
            <w:tcW w:w="2026" w:type="dxa"/>
            <w:vAlign w:val="center"/>
          </w:tcPr>
          <w:p w14:paraId="6146914E">
            <w:pPr>
              <w:widowControl/>
              <w:numPr>
                <w:ilvl w:val="0"/>
                <w:numId w:val="0"/>
              </w:numPr>
              <w:tabs>
                <w:tab w:val="left" w:pos="360"/>
              </w:tabs>
              <w:ind w:left="0" w:firstLine="0"/>
              <w:jc w:val="center"/>
              <w:textAlignment w:val="center"/>
              <w:rPr>
                <w:rFonts w:ascii="宋体" w:hAnsi="宋体" w:cs="宋体"/>
                <w:kern w:val="0"/>
                <w:sz w:val="20"/>
                <w:szCs w:val="18"/>
              </w:rPr>
            </w:pPr>
            <w:r>
              <w:rPr>
                <w:rFonts w:hint="eastAsia" w:ascii="宋体" w:hAnsi="宋体" w:cs="宋体"/>
                <w:kern w:val="0"/>
                <w:sz w:val="20"/>
                <w:szCs w:val="18"/>
              </w:rPr>
              <w:t>安全监控系统安装</w:t>
            </w:r>
          </w:p>
        </w:tc>
        <w:tc>
          <w:tcPr>
            <w:tcW w:w="6918" w:type="dxa"/>
            <w:vAlign w:val="center"/>
          </w:tcPr>
          <w:p w14:paraId="1BC2F3E8">
            <w:pPr>
              <w:widowControl/>
              <w:numPr>
                <w:ilvl w:val="0"/>
                <w:numId w:val="0"/>
              </w:numPr>
              <w:tabs>
                <w:tab w:val="left" w:pos="360"/>
              </w:tabs>
              <w:ind w:left="0" w:firstLine="0"/>
              <w:jc w:val="left"/>
              <w:textAlignment w:val="center"/>
              <w:rPr>
                <w:rFonts w:ascii="宋体" w:hAnsi="宋体" w:cs="宋体"/>
                <w:kern w:val="0"/>
                <w:sz w:val="20"/>
                <w:szCs w:val="18"/>
              </w:rPr>
            </w:pPr>
            <w:r>
              <w:rPr>
                <w:rFonts w:hint="eastAsia" w:ascii="宋体" w:hAnsi="宋体" w:cs="宋体"/>
                <w:kern w:val="0"/>
                <w:sz w:val="20"/>
                <w:szCs w:val="18"/>
              </w:rPr>
              <w:t>线缆敷设、设备及软件安装、系统调试运行</w:t>
            </w:r>
          </w:p>
        </w:tc>
      </w:tr>
      <w:tr w14:paraId="3B78A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26930855">
            <w:pPr>
              <w:numPr>
                <w:ilvl w:val="0"/>
                <w:numId w:val="2"/>
              </w:numPr>
              <w:tabs>
                <w:tab w:val="left" w:pos="360"/>
              </w:tabs>
              <w:spacing w:line="240" w:lineRule="auto"/>
              <w:ind w:left="0" w:firstLine="0"/>
              <w:jc w:val="center"/>
              <w:rPr>
                <w:rFonts w:ascii="宋体"/>
                <w:sz w:val="21"/>
                <w:szCs w:val="21"/>
              </w:rPr>
            </w:pPr>
          </w:p>
        </w:tc>
        <w:tc>
          <w:tcPr>
            <w:tcW w:w="1233" w:type="dxa"/>
            <w:vMerge w:val="continue"/>
            <w:vAlign w:val="center"/>
          </w:tcPr>
          <w:p w14:paraId="07CE95B9">
            <w:pPr>
              <w:numPr>
                <w:ilvl w:val="0"/>
                <w:numId w:val="2"/>
              </w:numPr>
              <w:tabs>
                <w:tab w:val="left" w:pos="360"/>
              </w:tabs>
              <w:spacing w:line="240" w:lineRule="auto"/>
              <w:ind w:left="0" w:firstLine="0"/>
              <w:jc w:val="center"/>
              <w:rPr>
                <w:rFonts w:ascii="宋体"/>
                <w:sz w:val="21"/>
                <w:szCs w:val="21"/>
              </w:rPr>
            </w:pPr>
          </w:p>
        </w:tc>
        <w:tc>
          <w:tcPr>
            <w:tcW w:w="709" w:type="dxa"/>
            <w:vMerge w:val="continue"/>
            <w:vAlign w:val="center"/>
          </w:tcPr>
          <w:p w14:paraId="2FE90DBD">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38722AD8">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030A8385">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ascii="宋体" w:hAnsi="宋体" w:cs="宋体"/>
                <w:kern w:val="0"/>
                <w:sz w:val="21"/>
                <w:szCs w:val="21"/>
              </w:rPr>
              <w:t>06</w:t>
            </w:r>
          </w:p>
        </w:tc>
        <w:tc>
          <w:tcPr>
            <w:tcW w:w="2026" w:type="dxa"/>
            <w:vAlign w:val="center"/>
          </w:tcPr>
          <w:p w14:paraId="58052985">
            <w:pPr>
              <w:widowControl/>
              <w:numPr>
                <w:ilvl w:val="0"/>
                <w:numId w:val="0"/>
              </w:numPr>
              <w:tabs>
                <w:tab w:val="left" w:pos="360"/>
              </w:tabs>
              <w:ind w:left="0" w:firstLine="0"/>
              <w:jc w:val="center"/>
              <w:textAlignment w:val="center"/>
              <w:rPr>
                <w:rFonts w:ascii="宋体" w:hAnsi="宋体" w:cs="宋体"/>
                <w:kern w:val="0"/>
                <w:sz w:val="20"/>
                <w:szCs w:val="18"/>
              </w:rPr>
            </w:pPr>
            <w:r>
              <w:rPr>
                <w:rFonts w:hint="eastAsia" w:ascii="宋体" w:hAnsi="宋体" w:cs="宋体"/>
                <w:kern w:val="0"/>
                <w:sz w:val="20"/>
                <w:szCs w:val="20"/>
              </w:rPr>
              <w:t>消防设施安装</w:t>
            </w:r>
          </w:p>
        </w:tc>
        <w:tc>
          <w:tcPr>
            <w:tcW w:w="6918" w:type="dxa"/>
            <w:vAlign w:val="center"/>
          </w:tcPr>
          <w:p w14:paraId="54C83B04">
            <w:pPr>
              <w:widowControl/>
              <w:numPr>
                <w:ilvl w:val="0"/>
                <w:numId w:val="0"/>
              </w:numPr>
              <w:tabs>
                <w:tab w:val="left" w:pos="360"/>
              </w:tabs>
              <w:ind w:left="0" w:firstLine="0"/>
              <w:jc w:val="left"/>
              <w:textAlignment w:val="center"/>
              <w:rPr>
                <w:rFonts w:ascii="宋体" w:hAnsi="宋体" w:cs="宋体"/>
                <w:kern w:val="0"/>
                <w:sz w:val="20"/>
                <w:szCs w:val="18"/>
              </w:rPr>
            </w:pPr>
            <w:r>
              <w:rPr>
                <w:rFonts w:hint="eastAsia" w:ascii="宋体" w:hAnsi="宋体" w:cs="宋体"/>
                <w:kern w:val="0"/>
                <w:sz w:val="20"/>
                <w:szCs w:val="18"/>
              </w:rPr>
              <w:t>灭火器的安装设置、配置验收</w:t>
            </w:r>
          </w:p>
        </w:tc>
      </w:tr>
    </w:tbl>
    <w:p w14:paraId="6CE49757">
      <w:pPr>
        <w:widowControl/>
        <w:adjustRightInd/>
        <w:snapToGrid/>
        <w:spacing w:line="240" w:lineRule="auto"/>
        <w:jc w:val="left"/>
        <w:rPr>
          <w:rFonts w:eastAsia="黑体"/>
          <w:b/>
          <w:bCs/>
          <w:kern w:val="44"/>
          <w:szCs w:val="44"/>
        </w:rPr>
      </w:pPr>
      <w:r>
        <w:br w:type="page"/>
      </w:r>
    </w:p>
    <w:p w14:paraId="22FE4ECF">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rPr>
          <w:rFonts w:hint="eastAsia" w:eastAsia="宋体"/>
        </w:rPr>
      </w:pPr>
      <w:bookmarkStart w:id="112" w:name="_Toc17927"/>
      <w:bookmarkStart w:id="113" w:name="_Toc92737152"/>
      <w:r>
        <w:rPr>
          <w:rFonts w:hint="eastAsia" w:eastAsia="宋体"/>
        </w:rPr>
        <w:t>附录G</w:t>
      </w:r>
      <w:r>
        <w:rPr>
          <w:rFonts w:hint="eastAsia"/>
          <w:lang w:val="en-US" w:eastAsia="zh-CN"/>
        </w:rPr>
        <w:t xml:space="preserve">  </w:t>
      </w:r>
      <w:r>
        <w:rPr>
          <w:rFonts w:hint="eastAsia" w:eastAsia="宋体"/>
        </w:rPr>
        <w:t>光伏区调试工程质量验收范围划分表</w:t>
      </w:r>
      <w:bookmarkEnd w:id="112"/>
      <w:bookmarkEnd w:id="113"/>
    </w:p>
    <w:p w14:paraId="47E12888">
      <w:pPr>
        <w:spacing w:line="240" w:lineRule="auto"/>
        <w:jc w:val="center"/>
        <w:rPr>
          <w:rFonts w:hint="eastAsia" w:ascii="黑体" w:hAnsi="黑体" w:eastAsia="黑体" w:cs="黑体"/>
          <w:sz w:val="28"/>
          <w:szCs w:val="28"/>
        </w:rPr>
      </w:pPr>
      <w:r>
        <w:rPr>
          <w:rFonts w:hint="eastAsia" w:ascii="黑体" w:hAnsi="黑体" w:eastAsia="黑体" w:cs="黑体"/>
          <w:sz w:val="28"/>
          <w:szCs w:val="28"/>
        </w:rPr>
        <w:t>表</w:t>
      </w:r>
      <w:r>
        <w:rPr>
          <w:rFonts w:hint="default" w:ascii="Times New Roman" w:hAnsi="Times New Roman" w:eastAsia="黑体" w:cs="Times New Roman"/>
          <w:b/>
          <w:bCs/>
          <w:sz w:val="28"/>
          <w:szCs w:val="28"/>
        </w:rPr>
        <w:t>G</w:t>
      </w:r>
      <w:r>
        <w:rPr>
          <w:rFonts w:hint="eastAsia"/>
          <w:lang w:val="en-US" w:eastAsia="zh-CN"/>
        </w:rPr>
        <w:t xml:space="preserve">  </w:t>
      </w:r>
      <w:r>
        <w:rPr>
          <w:rFonts w:hint="eastAsia" w:ascii="黑体" w:hAnsi="黑体" w:eastAsia="黑体" w:cs="黑体"/>
          <w:sz w:val="28"/>
          <w:szCs w:val="28"/>
        </w:rPr>
        <w:t>光伏区调试工程质量验收范围划分表</w:t>
      </w:r>
    </w:p>
    <w:tbl>
      <w:tblPr>
        <w:tblStyle w:val="13"/>
        <w:tblW w:w="1401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4"/>
        <w:gridCol w:w="1233"/>
        <w:gridCol w:w="709"/>
        <w:gridCol w:w="1843"/>
        <w:gridCol w:w="709"/>
        <w:gridCol w:w="2026"/>
        <w:gridCol w:w="6959"/>
      </w:tblGrid>
      <w:tr w14:paraId="65063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restart"/>
            <w:vAlign w:val="center"/>
          </w:tcPr>
          <w:p w14:paraId="7DD8899C">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233" w:type="dxa"/>
            <w:vMerge w:val="restart"/>
            <w:vAlign w:val="center"/>
          </w:tcPr>
          <w:p w14:paraId="1DC392D2">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单位工程</w:t>
            </w:r>
          </w:p>
        </w:tc>
        <w:tc>
          <w:tcPr>
            <w:tcW w:w="2552" w:type="dxa"/>
            <w:gridSpan w:val="2"/>
            <w:vAlign w:val="center"/>
          </w:tcPr>
          <w:p w14:paraId="0D0C9F1E">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分部工程</w:t>
            </w:r>
          </w:p>
        </w:tc>
        <w:tc>
          <w:tcPr>
            <w:tcW w:w="2735" w:type="dxa"/>
            <w:gridSpan w:val="2"/>
            <w:vAlign w:val="center"/>
          </w:tcPr>
          <w:p w14:paraId="20D3C10B">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子分部工程</w:t>
            </w:r>
          </w:p>
        </w:tc>
        <w:tc>
          <w:tcPr>
            <w:tcW w:w="6959" w:type="dxa"/>
            <w:vMerge w:val="restart"/>
            <w:tcBorders>
              <w:top w:val="single" w:color="auto" w:sz="4" w:space="0"/>
              <w:right w:val="single" w:color="auto" w:sz="4" w:space="0"/>
            </w:tcBorders>
            <w:shd w:val="clear" w:color="auto" w:fill="auto"/>
            <w:vAlign w:val="center"/>
          </w:tcPr>
          <w:p w14:paraId="39C3CAB1">
            <w:pPr>
              <w:widowControl/>
              <w:numPr>
                <w:ilvl w:val="0"/>
                <w:numId w:val="0"/>
              </w:numPr>
              <w:tabs>
                <w:tab w:val="left" w:pos="360"/>
              </w:tabs>
              <w:adjustRightInd/>
              <w:snapToGrid/>
              <w:spacing w:line="240" w:lineRule="auto"/>
              <w:ind w:left="0" w:firstLine="0"/>
              <w:jc w:val="center"/>
              <w:rPr>
                <w:rFonts w:ascii="宋体"/>
                <w:sz w:val="21"/>
                <w:szCs w:val="21"/>
              </w:rPr>
            </w:pPr>
            <w:r>
              <w:rPr>
                <w:rFonts w:hint="eastAsia" w:ascii="宋体"/>
                <w:sz w:val="21"/>
                <w:szCs w:val="21"/>
              </w:rPr>
              <w:t>分项工程</w:t>
            </w:r>
          </w:p>
        </w:tc>
      </w:tr>
      <w:tr w14:paraId="19671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continue"/>
            <w:vAlign w:val="center"/>
          </w:tcPr>
          <w:p w14:paraId="14E247C8">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30F09686">
            <w:pPr>
              <w:numPr>
                <w:ilvl w:val="0"/>
                <w:numId w:val="0"/>
              </w:numPr>
              <w:tabs>
                <w:tab w:val="left" w:pos="360"/>
              </w:tabs>
              <w:spacing w:line="240" w:lineRule="auto"/>
              <w:ind w:left="0" w:firstLine="0"/>
              <w:jc w:val="center"/>
              <w:rPr>
                <w:rFonts w:ascii="宋体"/>
                <w:sz w:val="21"/>
                <w:szCs w:val="21"/>
              </w:rPr>
            </w:pPr>
          </w:p>
        </w:tc>
        <w:tc>
          <w:tcPr>
            <w:tcW w:w="709" w:type="dxa"/>
            <w:vAlign w:val="center"/>
          </w:tcPr>
          <w:p w14:paraId="3B5C354E">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843" w:type="dxa"/>
            <w:vAlign w:val="center"/>
          </w:tcPr>
          <w:p w14:paraId="6ADA7D68">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709" w:type="dxa"/>
            <w:vAlign w:val="center"/>
          </w:tcPr>
          <w:p w14:paraId="237A8E3A">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2026" w:type="dxa"/>
            <w:vAlign w:val="center"/>
          </w:tcPr>
          <w:p w14:paraId="626F9442">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6959" w:type="dxa"/>
            <w:vMerge w:val="continue"/>
            <w:tcBorders>
              <w:right w:val="single" w:color="auto" w:sz="4" w:space="0"/>
            </w:tcBorders>
            <w:vAlign w:val="center"/>
          </w:tcPr>
          <w:p w14:paraId="50957F8A">
            <w:pPr>
              <w:numPr>
                <w:ilvl w:val="0"/>
                <w:numId w:val="0"/>
              </w:numPr>
              <w:tabs>
                <w:tab w:val="left" w:pos="360"/>
              </w:tabs>
              <w:spacing w:line="240" w:lineRule="auto"/>
              <w:ind w:left="0" w:firstLine="0"/>
              <w:jc w:val="center"/>
              <w:rPr>
                <w:rFonts w:ascii="宋体"/>
                <w:sz w:val="21"/>
                <w:szCs w:val="21"/>
              </w:rPr>
            </w:pPr>
          </w:p>
        </w:tc>
      </w:tr>
      <w:tr w14:paraId="0F641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vAlign w:val="center"/>
          </w:tcPr>
          <w:p w14:paraId="6F9CF0F1">
            <w:pPr>
              <w:numPr>
                <w:ilvl w:val="0"/>
                <w:numId w:val="0"/>
              </w:numPr>
              <w:tabs>
                <w:tab w:val="left" w:pos="360"/>
              </w:tabs>
              <w:spacing w:line="240" w:lineRule="auto"/>
              <w:ind w:left="0" w:firstLine="0"/>
              <w:jc w:val="center"/>
              <w:rPr>
                <w:rFonts w:ascii="宋体"/>
                <w:sz w:val="21"/>
                <w:szCs w:val="21"/>
              </w:rPr>
            </w:pPr>
            <w:r>
              <w:rPr>
                <w:rFonts w:ascii="宋体"/>
                <w:sz w:val="21"/>
                <w:szCs w:val="21"/>
              </w:rPr>
              <w:t>07</w:t>
            </w:r>
          </w:p>
        </w:tc>
        <w:tc>
          <w:tcPr>
            <w:tcW w:w="1233" w:type="dxa"/>
            <w:vMerge w:val="restart"/>
            <w:vAlign w:val="center"/>
          </w:tcPr>
          <w:p w14:paraId="7709930B">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光伏区调试工程</w:t>
            </w:r>
          </w:p>
        </w:tc>
        <w:tc>
          <w:tcPr>
            <w:tcW w:w="709" w:type="dxa"/>
            <w:vMerge w:val="restart"/>
            <w:vAlign w:val="center"/>
          </w:tcPr>
          <w:p w14:paraId="18A80B6F">
            <w:pPr>
              <w:widowControl/>
              <w:numPr>
                <w:ilvl w:val="0"/>
                <w:numId w:val="0"/>
              </w:numPr>
              <w:tabs>
                <w:tab w:val="left" w:pos="360"/>
              </w:tabs>
              <w:spacing w:line="240" w:lineRule="auto"/>
              <w:ind w:left="0" w:firstLine="0"/>
              <w:jc w:val="center"/>
              <w:textAlignment w:val="top"/>
              <w:rPr>
                <w:rFonts w:ascii="宋体" w:hAnsi="宋体" w:cs="宋体"/>
                <w:sz w:val="21"/>
                <w:szCs w:val="21"/>
              </w:rPr>
            </w:pPr>
            <w:r>
              <w:rPr>
                <w:rFonts w:ascii="宋体" w:hAnsi="宋体" w:cs="宋体"/>
                <w:kern w:val="0"/>
                <w:sz w:val="21"/>
                <w:szCs w:val="21"/>
              </w:rPr>
              <w:t>01</w:t>
            </w:r>
            <w:r>
              <w:rPr>
                <w:rFonts w:hint="eastAsia" w:ascii="宋体" w:hAnsi="宋体" w:cs="宋体"/>
                <w:kern w:val="0"/>
                <w:sz w:val="21"/>
                <w:szCs w:val="21"/>
              </w:rPr>
              <w:t>~N</w:t>
            </w:r>
          </w:p>
        </w:tc>
        <w:tc>
          <w:tcPr>
            <w:tcW w:w="1843" w:type="dxa"/>
            <w:vMerge w:val="restart"/>
            <w:vAlign w:val="center"/>
          </w:tcPr>
          <w:p w14:paraId="4FC6D299">
            <w:pPr>
              <w:widowControl/>
              <w:numPr>
                <w:ilvl w:val="0"/>
                <w:numId w:val="0"/>
              </w:numPr>
              <w:tabs>
                <w:tab w:val="left" w:pos="360"/>
              </w:tabs>
              <w:spacing w:line="240" w:lineRule="auto"/>
              <w:ind w:left="0" w:firstLine="0"/>
              <w:jc w:val="center"/>
              <w:textAlignment w:val="top"/>
              <w:rPr>
                <w:rFonts w:ascii="宋体" w:hAnsi="宋体" w:cs="宋体"/>
                <w:sz w:val="21"/>
                <w:szCs w:val="21"/>
              </w:rPr>
            </w:pPr>
            <w:r>
              <w:rPr>
                <w:rFonts w:hint="eastAsia" w:ascii="宋体" w:hAnsi="宋体" w:cs="宋体"/>
                <w:sz w:val="21"/>
                <w:szCs w:val="21"/>
              </w:rPr>
              <w:t>N号光伏方阵调试</w:t>
            </w:r>
          </w:p>
        </w:tc>
        <w:tc>
          <w:tcPr>
            <w:tcW w:w="709" w:type="dxa"/>
            <w:vAlign w:val="center"/>
          </w:tcPr>
          <w:p w14:paraId="1C767AD0">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ascii="宋体" w:hAnsi="宋体" w:cs="宋体"/>
                <w:kern w:val="0"/>
                <w:sz w:val="21"/>
                <w:szCs w:val="21"/>
              </w:rPr>
              <w:t>01</w:t>
            </w:r>
          </w:p>
        </w:tc>
        <w:tc>
          <w:tcPr>
            <w:tcW w:w="2026" w:type="dxa"/>
            <w:vAlign w:val="center"/>
          </w:tcPr>
          <w:p w14:paraId="558FD75E">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hint="eastAsia" w:ascii="宋体"/>
                <w:sz w:val="21"/>
                <w:szCs w:val="21"/>
              </w:rPr>
              <w:t>光伏组件串调试</w:t>
            </w:r>
          </w:p>
        </w:tc>
        <w:tc>
          <w:tcPr>
            <w:tcW w:w="6959" w:type="dxa"/>
            <w:vAlign w:val="center"/>
          </w:tcPr>
          <w:p w14:paraId="0B01C5B9">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sz w:val="21"/>
                <w:szCs w:val="21"/>
              </w:rPr>
              <w:t>光伏组件串的检测</w:t>
            </w:r>
          </w:p>
        </w:tc>
      </w:tr>
      <w:tr w14:paraId="51C64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24203E53">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42F1F7FA">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76BAB44F">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5979249E">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748A5CF6">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ascii="宋体" w:hAnsi="宋体" w:cs="宋体"/>
                <w:kern w:val="0"/>
                <w:sz w:val="21"/>
                <w:szCs w:val="21"/>
              </w:rPr>
              <w:t>02</w:t>
            </w:r>
          </w:p>
        </w:tc>
        <w:tc>
          <w:tcPr>
            <w:tcW w:w="2026" w:type="dxa"/>
            <w:vAlign w:val="center"/>
          </w:tcPr>
          <w:p w14:paraId="713CC278">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hint="eastAsia" w:ascii="宋体" w:hAnsi="宋体"/>
                <w:sz w:val="21"/>
                <w:szCs w:val="21"/>
              </w:rPr>
              <w:t>跟踪系统调试</w:t>
            </w:r>
          </w:p>
        </w:tc>
        <w:tc>
          <w:tcPr>
            <w:tcW w:w="6959" w:type="dxa"/>
            <w:vAlign w:val="center"/>
          </w:tcPr>
          <w:p w14:paraId="6A424BBB">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sz w:val="21"/>
                <w:szCs w:val="21"/>
              </w:rPr>
              <w:t>手动模式调试、自动模式调试</w:t>
            </w:r>
          </w:p>
        </w:tc>
      </w:tr>
      <w:tr w14:paraId="24BC0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404F6C5">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74F1984F">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45FF4784">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51224924">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26057CE4">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ascii="宋体" w:hAnsi="宋体" w:cs="宋体"/>
                <w:kern w:val="0"/>
                <w:sz w:val="21"/>
                <w:szCs w:val="21"/>
              </w:rPr>
              <w:t>03</w:t>
            </w:r>
          </w:p>
        </w:tc>
        <w:tc>
          <w:tcPr>
            <w:tcW w:w="2026" w:type="dxa"/>
            <w:vAlign w:val="center"/>
          </w:tcPr>
          <w:p w14:paraId="2476AEF1">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hint="eastAsia" w:ascii="宋体" w:hAnsi="宋体"/>
                <w:sz w:val="21"/>
                <w:szCs w:val="21"/>
              </w:rPr>
              <w:t>逆变器调试</w:t>
            </w:r>
          </w:p>
        </w:tc>
        <w:tc>
          <w:tcPr>
            <w:tcW w:w="6959" w:type="dxa"/>
            <w:vAlign w:val="center"/>
          </w:tcPr>
          <w:p w14:paraId="41978C77">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cs="宋体"/>
                <w:sz w:val="21"/>
                <w:szCs w:val="21"/>
              </w:rPr>
              <w:t>本体检查、人机界面检查、直流侧电缆检查、测试、交流侧电缆检查、测试、逆变器并网后检查、测试</w:t>
            </w:r>
          </w:p>
        </w:tc>
      </w:tr>
    </w:tbl>
    <w:p w14:paraId="28F67E02"/>
    <w:p w14:paraId="3C8CB769">
      <w:pPr>
        <w:rPr>
          <w:rFonts w:eastAsia="黑体"/>
          <w:kern w:val="44"/>
          <w:szCs w:val="44"/>
        </w:rPr>
      </w:pPr>
      <w:r>
        <w:br w:type="page"/>
      </w:r>
    </w:p>
    <w:p w14:paraId="14C96AAA">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pPr>
      <w:bookmarkStart w:id="114" w:name="_Toc92737153"/>
      <w:bookmarkStart w:id="115" w:name="_Toc8020"/>
      <w:r>
        <w:rPr>
          <w:rFonts w:hint="eastAsia" w:eastAsia="宋体"/>
        </w:rPr>
        <w:t>附录H</w:t>
      </w:r>
      <w:r>
        <w:rPr>
          <w:rFonts w:hint="eastAsia"/>
          <w:lang w:val="en-US" w:eastAsia="zh-CN"/>
        </w:rPr>
        <w:t xml:space="preserve">  </w:t>
      </w:r>
      <w:r>
        <w:rPr>
          <w:rFonts w:hint="eastAsia" w:eastAsia="宋体"/>
        </w:rPr>
        <w:t>绿化工程质量验收范围划分表</w:t>
      </w:r>
      <w:bookmarkEnd w:id="114"/>
      <w:bookmarkEnd w:id="115"/>
    </w:p>
    <w:p w14:paraId="4AC1301B">
      <w:pPr>
        <w:spacing w:line="240" w:lineRule="auto"/>
        <w:jc w:val="center"/>
        <w:rPr>
          <w:rFonts w:hint="eastAsia" w:ascii="黑体" w:hAnsi="黑体" w:eastAsia="黑体" w:cs="黑体"/>
          <w:sz w:val="28"/>
          <w:szCs w:val="28"/>
        </w:rPr>
      </w:pPr>
      <w:r>
        <w:rPr>
          <w:rFonts w:hint="eastAsia" w:ascii="黑体" w:hAnsi="黑体" w:eastAsia="黑体" w:cs="黑体"/>
          <w:sz w:val="28"/>
          <w:szCs w:val="28"/>
        </w:rPr>
        <w:t>表</w:t>
      </w:r>
      <w:r>
        <w:rPr>
          <w:rFonts w:hint="default" w:ascii="Times New Roman" w:hAnsi="Times New Roman" w:eastAsia="黑体" w:cs="Times New Roman"/>
          <w:b/>
          <w:bCs/>
          <w:sz w:val="28"/>
          <w:szCs w:val="28"/>
        </w:rPr>
        <w:t>H</w:t>
      </w:r>
      <w:r>
        <w:rPr>
          <w:rFonts w:hint="eastAsia"/>
          <w:lang w:val="en-US" w:eastAsia="zh-CN"/>
        </w:rPr>
        <w:t xml:space="preserve">  </w:t>
      </w:r>
      <w:r>
        <w:rPr>
          <w:rFonts w:hint="eastAsia" w:ascii="黑体" w:hAnsi="黑体" w:eastAsia="黑体" w:cs="黑体"/>
          <w:sz w:val="28"/>
          <w:szCs w:val="28"/>
        </w:rPr>
        <w:t>绿化工程质量验收范围划分表</w:t>
      </w:r>
    </w:p>
    <w:tbl>
      <w:tblPr>
        <w:tblStyle w:val="13"/>
        <w:tblW w:w="1401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4"/>
        <w:gridCol w:w="1233"/>
        <w:gridCol w:w="709"/>
        <w:gridCol w:w="1843"/>
        <w:gridCol w:w="9694"/>
      </w:tblGrid>
      <w:tr w14:paraId="077B1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restart"/>
            <w:vAlign w:val="center"/>
          </w:tcPr>
          <w:p w14:paraId="561EA872">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233" w:type="dxa"/>
            <w:vMerge w:val="restart"/>
            <w:vAlign w:val="center"/>
          </w:tcPr>
          <w:p w14:paraId="3BAE41DA">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单位工程</w:t>
            </w:r>
          </w:p>
        </w:tc>
        <w:tc>
          <w:tcPr>
            <w:tcW w:w="2552" w:type="dxa"/>
            <w:gridSpan w:val="2"/>
            <w:vAlign w:val="center"/>
          </w:tcPr>
          <w:p w14:paraId="5D2E711C">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分部工程</w:t>
            </w:r>
          </w:p>
        </w:tc>
        <w:tc>
          <w:tcPr>
            <w:tcW w:w="9694" w:type="dxa"/>
            <w:vMerge w:val="restart"/>
            <w:tcBorders>
              <w:top w:val="single" w:color="auto" w:sz="4" w:space="0"/>
              <w:right w:val="single" w:color="auto" w:sz="4" w:space="0"/>
            </w:tcBorders>
            <w:shd w:val="clear" w:color="auto" w:fill="auto"/>
            <w:vAlign w:val="center"/>
          </w:tcPr>
          <w:p w14:paraId="6B0EA605">
            <w:pPr>
              <w:widowControl/>
              <w:numPr>
                <w:ilvl w:val="0"/>
                <w:numId w:val="0"/>
              </w:numPr>
              <w:tabs>
                <w:tab w:val="left" w:pos="360"/>
              </w:tabs>
              <w:adjustRightInd/>
              <w:snapToGrid/>
              <w:spacing w:line="240" w:lineRule="auto"/>
              <w:ind w:left="0" w:firstLine="0"/>
              <w:jc w:val="center"/>
              <w:rPr>
                <w:rFonts w:ascii="宋体"/>
                <w:sz w:val="21"/>
                <w:szCs w:val="21"/>
              </w:rPr>
            </w:pPr>
            <w:r>
              <w:rPr>
                <w:rFonts w:hint="eastAsia" w:ascii="宋体"/>
                <w:sz w:val="21"/>
                <w:szCs w:val="21"/>
              </w:rPr>
              <w:t>分项工程</w:t>
            </w:r>
          </w:p>
        </w:tc>
      </w:tr>
      <w:tr w14:paraId="49781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continue"/>
            <w:vAlign w:val="center"/>
          </w:tcPr>
          <w:p w14:paraId="73E7F131">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00989012">
            <w:pPr>
              <w:numPr>
                <w:ilvl w:val="0"/>
                <w:numId w:val="0"/>
              </w:numPr>
              <w:tabs>
                <w:tab w:val="left" w:pos="360"/>
              </w:tabs>
              <w:spacing w:line="240" w:lineRule="auto"/>
              <w:ind w:left="0" w:firstLine="0"/>
              <w:jc w:val="center"/>
              <w:rPr>
                <w:rFonts w:ascii="宋体"/>
                <w:sz w:val="21"/>
                <w:szCs w:val="21"/>
              </w:rPr>
            </w:pPr>
          </w:p>
        </w:tc>
        <w:tc>
          <w:tcPr>
            <w:tcW w:w="709" w:type="dxa"/>
            <w:vAlign w:val="center"/>
          </w:tcPr>
          <w:p w14:paraId="268AC5D9">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843" w:type="dxa"/>
            <w:vAlign w:val="center"/>
          </w:tcPr>
          <w:p w14:paraId="69F4CE20">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9694" w:type="dxa"/>
            <w:vMerge w:val="continue"/>
            <w:tcBorders>
              <w:right w:val="single" w:color="auto" w:sz="4" w:space="0"/>
            </w:tcBorders>
            <w:vAlign w:val="center"/>
          </w:tcPr>
          <w:p w14:paraId="5261ABC5">
            <w:pPr>
              <w:numPr>
                <w:ilvl w:val="0"/>
                <w:numId w:val="0"/>
              </w:numPr>
              <w:tabs>
                <w:tab w:val="left" w:pos="360"/>
              </w:tabs>
              <w:spacing w:line="240" w:lineRule="auto"/>
              <w:ind w:left="0" w:firstLine="0"/>
              <w:jc w:val="center"/>
              <w:rPr>
                <w:rFonts w:ascii="宋体"/>
                <w:sz w:val="21"/>
                <w:szCs w:val="21"/>
              </w:rPr>
            </w:pPr>
          </w:p>
        </w:tc>
      </w:tr>
      <w:tr w14:paraId="40AFA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vAlign w:val="center"/>
          </w:tcPr>
          <w:p w14:paraId="4D3A884C">
            <w:pPr>
              <w:numPr>
                <w:ilvl w:val="0"/>
                <w:numId w:val="0"/>
              </w:numPr>
              <w:tabs>
                <w:tab w:val="left" w:pos="360"/>
              </w:tabs>
              <w:spacing w:line="240" w:lineRule="auto"/>
              <w:ind w:left="0" w:firstLine="0"/>
              <w:jc w:val="center"/>
              <w:rPr>
                <w:rFonts w:ascii="宋体"/>
                <w:sz w:val="21"/>
                <w:szCs w:val="21"/>
              </w:rPr>
            </w:pPr>
            <w:r>
              <w:rPr>
                <w:rFonts w:ascii="宋体"/>
                <w:sz w:val="21"/>
                <w:szCs w:val="21"/>
              </w:rPr>
              <w:t>08</w:t>
            </w:r>
          </w:p>
        </w:tc>
        <w:tc>
          <w:tcPr>
            <w:tcW w:w="1233" w:type="dxa"/>
            <w:vMerge w:val="restart"/>
            <w:vAlign w:val="center"/>
          </w:tcPr>
          <w:p w14:paraId="0FE79909">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绿化工程</w:t>
            </w:r>
          </w:p>
        </w:tc>
        <w:tc>
          <w:tcPr>
            <w:tcW w:w="709" w:type="dxa"/>
            <w:vMerge w:val="restart"/>
            <w:vAlign w:val="center"/>
          </w:tcPr>
          <w:p w14:paraId="7EF801C9">
            <w:pPr>
              <w:widowControl/>
              <w:numPr>
                <w:ilvl w:val="0"/>
                <w:numId w:val="0"/>
              </w:numPr>
              <w:tabs>
                <w:tab w:val="left" w:pos="360"/>
              </w:tabs>
              <w:spacing w:line="240" w:lineRule="auto"/>
              <w:ind w:left="0" w:firstLine="0"/>
              <w:jc w:val="center"/>
              <w:textAlignment w:val="top"/>
              <w:rPr>
                <w:rFonts w:ascii="宋体" w:hAnsi="宋体" w:cs="宋体"/>
                <w:sz w:val="21"/>
                <w:szCs w:val="21"/>
              </w:rPr>
            </w:pPr>
            <w:r>
              <w:rPr>
                <w:rFonts w:ascii="宋体" w:hAnsi="宋体" w:cs="宋体"/>
                <w:kern w:val="0"/>
                <w:sz w:val="21"/>
                <w:szCs w:val="21"/>
              </w:rPr>
              <w:t>01</w:t>
            </w:r>
          </w:p>
        </w:tc>
        <w:tc>
          <w:tcPr>
            <w:tcW w:w="1843" w:type="dxa"/>
            <w:vMerge w:val="restart"/>
            <w:vAlign w:val="center"/>
          </w:tcPr>
          <w:p w14:paraId="3C3C046B">
            <w:pPr>
              <w:widowControl/>
              <w:numPr>
                <w:ilvl w:val="0"/>
                <w:numId w:val="0"/>
              </w:numPr>
              <w:tabs>
                <w:tab w:val="left" w:pos="360"/>
              </w:tabs>
              <w:spacing w:line="240" w:lineRule="auto"/>
              <w:ind w:left="0" w:firstLine="0"/>
              <w:jc w:val="center"/>
              <w:textAlignment w:val="top"/>
              <w:rPr>
                <w:rFonts w:ascii="宋体" w:hAnsi="宋体" w:cs="宋体"/>
                <w:sz w:val="21"/>
                <w:szCs w:val="21"/>
              </w:rPr>
            </w:pPr>
            <w:r>
              <w:rPr>
                <w:rFonts w:hint="eastAsia" w:ascii="宋体" w:hAnsi="宋体" w:cs="宋体"/>
                <w:kern w:val="0"/>
                <w:sz w:val="21"/>
                <w:szCs w:val="21"/>
              </w:rPr>
              <w:t>站内绿化工程</w:t>
            </w:r>
          </w:p>
        </w:tc>
        <w:tc>
          <w:tcPr>
            <w:tcW w:w="9694" w:type="dxa"/>
            <w:vAlign w:val="center"/>
          </w:tcPr>
          <w:p w14:paraId="305B8980">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cs="宋体"/>
                <w:kern w:val="0"/>
                <w:sz w:val="21"/>
                <w:szCs w:val="21"/>
              </w:rPr>
              <w:t>栽植前土壤处理</w:t>
            </w:r>
          </w:p>
        </w:tc>
      </w:tr>
      <w:tr w14:paraId="31DCC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1C0F635">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53DBDE23">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2FB95F8B">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3FC92588">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9694" w:type="dxa"/>
            <w:vAlign w:val="center"/>
          </w:tcPr>
          <w:p w14:paraId="3E88AF70">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cs="宋体"/>
                <w:kern w:val="0"/>
                <w:sz w:val="21"/>
                <w:szCs w:val="21"/>
              </w:rPr>
              <w:t>草坪、花坛、地被栽植</w:t>
            </w:r>
          </w:p>
        </w:tc>
      </w:tr>
      <w:tr w14:paraId="12CFE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09FD2EC0">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1EB97563">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5450EEB1">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19F5A380">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9694" w:type="dxa"/>
            <w:vAlign w:val="center"/>
          </w:tcPr>
          <w:p w14:paraId="205C39F8">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cs="宋体"/>
                <w:sz w:val="21"/>
                <w:szCs w:val="21"/>
              </w:rPr>
              <w:t>园路与铺装场地工程</w:t>
            </w:r>
          </w:p>
        </w:tc>
      </w:tr>
      <w:tr w14:paraId="792AC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E2BD4BE">
            <w:pPr>
              <w:numPr>
                <w:ilvl w:val="0"/>
                <w:numId w:val="0"/>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67A5F233">
            <w:pPr>
              <w:numPr>
                <w:ilvl w:val="0"/>
                <w:numId w:val="0"/>
              </w:numPr>
              <w:tabs>
                <w:tab w:val="left" w:pos="360"/>
              </w:tabs>
              <w:spacing w:line="240" w:lineRule="auto"/>
              <w:ind w:left="0" w:firstLine="0"/>
              <w:jc w:val="center"/>
              <w:rPr>
                <w:rFonts w:ascii="宋体"/>
                <w:color w:val="FF0000"/>
                <w:sz w:val="21"/>
                <w:szCs w:val="21"/>
              </w:rPr>
            </w:pPr>
          </w:p>
        </w:tc>
        <w:tc>
          <w:tcPr>
            <w:tcW w:w="709" w:type="dxa"/>
            <w:vMerge w:val="restart"/>
            <w:vAlign w:val="center"/>
          </w:tcPr>
          <w:p w14:paraId="3099D6E2">
            <w:pPr>
              <w:numPr>
                <w:ilvl w:val="0"/>
                <w:numId w:val="0"/>
              </w:numPr>
              <w:tabs>
                <w:tab w:val="left" w:pos="360"/>
              </w:tabs>
              <w:spacing w:line="240" w:lineRule="auto"/>
              <w:ind w:left="0" w:firstLine="0"/>
              <w:jc w:val="center"/>
              <w:rPr>
                <w:rFonts w:ascii="宋体"/>
                <w:sz w:val="21"/>
                <w:szCs w:val="21"/>
              </w:rPr>
            </w:pPr>
            <w:r>
              <w:rPr>
                <w:rFonts w:ascii="宋体"/>
                <w:sz w:val="21"/>
                <w:szCs w:val="21"/>
              </w:rPr>
              <w:t>02</w:t>
            </w:r>
          </w:p>
        </w:tc>
        <w:tc>
          <w:tcPr>
            <w:tcW w:w="1843" w:type="dxa"/>
            <w:vMerge w:val="restart"/>
            <w:vAlign w:val="center"/>
          </w:tcPr>
          <w:p w14:paraId="53B0B722">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hint="eastAsia" w:ascii="宋体" w:hAnsi="宋体" w:cs="宋体"/>
                <w:kern w:val="0"/>
                <w:sz w:val="21"/>
                <w:szCs w:val="21"/>
              </w:rPr>
              <w:t>站外绿化工程</w:t>
            </w:r>
          </w:p>
        </w:tc>
        <w:tc>
          <w:tcPr>
            <w:tcW w:w="9694" w:type="dxa"/>
            <w:vAlign w:val="center"/>
          </w:tcPr>
          <w:p w14:paraId="16F7CA0D">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cs="宋体"/>
                <w:kern w:val="0"/>
                <w:sz w:val="21"/>
                <w:szCs w:val="21"/>
              </w:rPr>
              <w:t>栽植前土壤处理</w:t>
            </w:r>
          </w:p>
        </w:tc>
      </w:tr>
      <w:tr w14:paraId="637A7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0952A30F">
            <w:pPr>
              <w:numPr>
                <w:ilvl w:val="0"/>
                <w:numId w:val="2"/>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2AE54296">
            <w:pPr>
              <w:numPr>
                <w:ilvl w:val="0"/>
                <w:numId w:val="2"/>
              </w:numPr>
              <w:tabs>
                <w:tab w:val="left" w:pos="360"/>
              </w:tabs>
              <w:spacing w:line="240" w:lineRule="auto"/>
              <w:ind w:left="0" w:firstLine="0"/>
              <w:jc w:val="center"/>
              <w:rPr>
                <w:rFonts w:ascii="宋体"/>
                <w:color w:val="FF0000"/>
                <w:sz w:val="21"/>
                <w:szCs w:val="21"/>
              </w:rPr>
            </w:pPr>
          </w:p>
        </w:tc>
        <w:tc>
          <w:tcPr>
            <w:tcW w:w="709" w:type="dxa"/>
            <w:vMerge w:val="continue"/>
            <w:vAlign w:val="center"/>
          </w:tcPr>
          <w:p w14:paraId="3E5EECFC">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173B9C06">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p>
        </w:tc>
        <w:tc>
          <w:tcPr>
            <w:tcW w:w="9694" w:type="dxa"/>
            <w:vAlign w:val="center"/>
          </w:tcPr>
          <w:p w14:paraId="4CE410E5">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cs="宋体"/>
                <w:kern w:val="0"/>
                <w:sz w:val="21"/>
                <w:szCs w:val="21"/>
              </w:rPr>
              <w:t>草坪、地被栽植</w:t>
            </w:r>
          </w:p>
        </w:tc>
      </w:tr>
      <w:tr w14:paraId="77762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2FD69214">
            <w:pPr>
              <w:numPr>
                <w:ilvl w:val="0"/>
                <w:numId w:val="2"/>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3BF17068">
            <w:pPr>
              <w:numPr>
                <w:ilvl w:val="0"/>
                <w:numId w:val="2"/>
              </w:numPr>
              <w:tabs>
                <w:tab w:val="left" w:pos="360"/>
              </w:tabs>
              <w:spacing w:line="240" w:lineRule="auto"/>
              <w:ind w:left="0" w:firstLine="0"/>
              <w:jc w:val="center"/>
              <w:rPr>
                <w:rFonts w:ascii="宋体"/>
                <w:color w:val="FF0000"/>
                <w:sz w:val="21"/>
                <w:szCs w:val="21"/>
              </w:rPr>
            </w:pPr>
          </w:p>
        </w:tc>
        <w:tc>
          <w:tcPr>
            <w:tcW w:w="709" w:type="dxa"/>
            <w:vMerge w:val="continue"/>
            <w:vAlign w:val="center"/>
          </w:tcPr>
          <w:p w14:paraId="57AFE487">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014A26CC">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p>
        </w:tc>
        <w:tc>
          <w:tcPr>
            <w:tcW w:w="9694" w:type="dxa"/>
            <w:vAlign w:val="center"/>
          </w:tcPr>
          <w:p w14:paraId="0BC883AF">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cs="宋体"/>
                <w:sz w:val="21"/>
                <w:szCs w:val="21"/>
              </w:rPr>
              <w:t>坡面绿化</w:t>
            </w:r>
          </w:p>
        </w:tc>
      </w:tr>
    </w:tbl>
    <w:p w14:paraId="64BDC332">
      <w:pPr>
        <w:widowControl/>
        <w:adjustRightInd/>
        <w:snapToGrid/>
        <w:spacing w:line="240" w:lineRule="auto"/>
        <w:jc w:val="left"/>
        <w:rPr>
          <w:rFonts w:eastAsia="黑体"/>
          <w:b/>
          <w:bCs/>
          <w:kern w:val="44"/>
          <w:szCs w:val="44"/>
        </w:rPr>
      </w:pPr>
      <w:r>
        <w:br w:type="page"/>
      </w:r>
    </w:p>
    <w:p w14:paraId="4EB75E8F">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pPr>
      <w:bookmarkStart w:id="116" w:name="_Toc92737154"/>
      <w:bookmarkStart w:id="117" w:name="_Toc31269"/>
      <w:r>
        <w:rPr>
          <w:rFonts w:hint="eastAsia" w:eastAsia="宋体"/>
        </w:rPr>
        <w:t>附录</w:t>
      </w:r>
      <w:r>
        <w:rPr>
          <w:rFonts w:hint="eastAsia" w:eastAsia="宋体"/>
          <w:lang w:val="en-US" w:eastAsia="zh-CN"/>
        </w:rPr>
        <w:t>J</w:t>
      </w:r>
      <w:r>
        <w:rPr>
          <w:rFonts w:hint="eastAsia"/>
          <w:lang w:val="en-US" w:eastAsia="zh-CN"/>
        </w:rPr>
        <w:t xml:space="preserve">  </w:t>
      </w:r>
      <w:r>
        <w:rPr>
          <w:rFonts w:hint="eastAsia" w:eastAsia="宋体"/>
        </w:rPr>
        <w:t>集电线路工程质量验收范围划分表</w:t>
      </w:r>
      <w:bookmarkEnd w:id="116"/>
      <w:bookmarkEnd w:id="117"/>
    </w:p>
    <w:p w14:paraId="381534F8">
      <w:pPr>
        <w:spacing w:line="240" w:lineRule="auto"/>
        <w:jc w:val="center"/>
      </w:pPr>
      <w:r>
        <w:rPr>
          <w:rFonts w:hint="eastAsia" w:ascii="黑体" w:hAnsi="黑体" w:eastAsia="黑体" w:cs="黑体"/>
          <w:sz w:val="28"/>
          <w:szCs w:val="28"/>
        </w:rPr>
        <w:t>表</w:t>
      </w:r>
      <w:r>
        <w:rPr>
          <w:rFonts w:hint="default" w:ascii="Times New Roman" w:hAnsi="Times New Roman" w:eastAsia="黑体" w:cs="Times New Roman"/>
          <w:b/>
          <w:bCs/>
          <w:sz w:val="28"/>
          <w:szCs w:val="28"/>
          <w:lang w:val="en-US" w:eastAsia="zh-CN"/>
        </w:rPr>
        <w:t>J</w:t>
      </w:r>
      <w:r>
        <w:rPr>
          <w:rFonts w:hint="eastAsia"/>
          <w:lang w:val="en-US" w:eastAsia="zh-CN"/>
        </w:rPr>
        <w:t xml:space="preserve">  </w:t>
      </w:r>
      <w:r>
        <w:rPr>
          <w:rFonts w:hint="eastAsia" w:ascii="黑体" w:hAnsi="黑体" w:eastAsia="黑体" w:cs="黑体"/>
          <w:sz w:val="28"/>
          <w:szCs w:val="28"/>
        </w:rPr>
        <w:t>集电线路工程质量验收范围划分表</w:t>
      </w:r>
    </w:p>
    <w:tbl>
      <w:tblPr>
        <w:tblStyle w:val="13"/>
        <w:tblW w:w="1401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4"/>
        <w:gridCol w:w="1233"/>
        <w:gridCol w:w="709"/>
        <w:gridCol w:w="1843"/>
        <w:gridCol w:w="709"/>
        <w:gridCol w:w="1842"/>
        <w:gridCol w:w="7143"/>
      </w:tblGrid>
      <w:tr w14:paraId="52F50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restart"/>
            <w:vAlign w:val="center"/>
          </w:tcPr>
          <w:p w14:paraId="51E043CC">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233" w:type="dxa"/>
            <w:vMerge w:val="restart"/>
            <w:vAlign w:val="center"/>
          </w:tcPr>
          <w:p w14:paraId="68B03639">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单位工程</w:t>
            </w:r>
          </w:p>
        </w:tc>
        <w:tc>
          <w:tcPr>
            <w:tcW w:w="2552" w:type="dxa"/>
            <w:gridSpan w:val="2"/>
            <w:vAlign w:val="center"/>
          </w:tcPr>
          <w:p w14:paraId="1A5E8926">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分部工程</w:t>
            </w:r>
          </w:p>
        </w:tc>
        <w:tc>
          <w:tcPr>
            <w:tcW w:w="2551" w:type="dxa"/>
            <w:gridSpan w:val="2"/>
            <w:vAlign w:val="center"/>
          </w:tcPr>
          <w:p w14:paraId="0CB3E822">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子分部工程</w:t>
            </w:r>
          </w:p>
        </w:tc>
        <w:tc>
          <w:tcPr>
            <w:tcW w:w="7143" w:type="dxa"/>
            <w:vMerge w:val="restart"/>
            <w:tcBorders>
              <w:top w:val="single" w:color="auto" w:sz="4" w:space="0"/>
              <w:right w:val="single" w:color="auto" w:sz="4" w:space="0"/>
            </w:tcBorders>
            <w:shd w:val="clear" w:color="auto" w:fill="auto"/>
            <w:vAlign w:val="center"/>
          </w:tcPr>
          <w:p w14:paraId="0124AB67">
            <w:pPr>
              <w:widowControl/>
              <w:numPr>
                <w:ilvl w:val="0"/>
                <w:numId w:val="0"/>
              </w:numPr>
              <w:tabs>
                <w:tab w:val="left" w:pos="360"/>
              </w:tabs>
              <w:adjustRightInd/>
              <w:snapToGrid/>
              <w:spacing w:line="240" w:lineRule="auto"/>
              <w:ind w:left="0" w:firstLine="0"/>
              <w:jc w:val="center"/>
              <w:rPr>
                <w:rFonts w:ascii="宋体"/>
                <w:sz w:val="21"/>
                <w:szCs w:val="21"/>
              </w:rPr>
            </w:pPr>
            <w:r>
              <w:rPr>
                <w:rFonts w:hint="eastAsia" w:ascii="宋体"/>
                <w:sz w:val="21"/>
                <w:szCs w:val="21"/>
              </w:rPr>
              <w:t>分项工程</w:t>
            </w:r>
          </w:p>
        </w:tc>
      </w:tr>
      <w:tr w14:paraId="58AAC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continue"/>
            <w:vAlign w:val="center"/>
          </w:tcPr>
          <w:p w14:paraId="11F3232B">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63E6AE3A">
            <w:pPr>
              <w:numPr>
                <w:ilvl w:val="0"/>
                <w:numId w:val="0"/>
              </w:numPr>
              <w:tabs>
                <w:tab w:val="left" w:pos="360"/>
              </w:tabs>
              <w:spacing w:line="240" w:lineRule="auto"/>
              <w:ind w:left="0" w:firstLine="0"/>
              <w:jc w:val="center"/>
              <w:rPr>
                <w:rFonts w:ascii="宋体"/>
                <w:sz w:val="21"/>
                <w:szCs w:val="21"/>
              </w:rPr>
            </w:pPr>
          </w:p>
        </w:tc>
        <w:tc>
          <w:tcPr>
            <w:tcW w:w="709" w:type="dxa"/>
            <w:vAlign w:val="center"/>
          </w:tcPr>
          <w:p w14:paraId="5AC8ECBA">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843" w:type="dxa"/>
            <w:vAlign w:val="center"/>
          </w:tcPr>
          <w:p w14:paraId="5AE44532">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709" w:type="dxa"/>
            <w:vAlign w:val="center"/>
          </w:tcPr>
          <w:p w14:paraId="3213EFDD">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842" w:type="dxa"/>
            <w:vAlign w:val="center"/>
          </w:tcPr>
          <w:p w14:paraId="26C9051A">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7143" w:type="dxa"/>
            <w:vMerge w:val="continue"/>
            <w:tcBorders>
              <w:right w:val="single" w:color="auto" w:sz="4" w:space="0"/>
            </w:tcBorders>
            <w:vAlign w:val="center"/>
          </w:tcPr>
          <w:p w14:paraId="78DF3AFC">
            <w:pPr>
              <w:numPr>
                <w:ilvl w:val="0"/>
                <w:numId w:val="0"/>
              </w:numPr>
              <w:tabs>
                <w:tab w:val="left" w:pos="360"/>
              </w:tabs>
              <w:spacing w:line="240" w:lineRule="auto"/>
              <w:ind w:left="0" w:firstLine="0"/>
              <w:jc w:val="center"/>
              <w:rPr>
                <w:rFonts w:ascii="宋体"/>
                <w:sz w:val="21"/>
                <w:szCs w:val="21"/>
              </w:rPr>
            </w:pPr>
          </w:p>
        </w:tc>
      </w:tr>
      <w:tr w14:paraId="10B1C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vAlign w:val="center"/>
          </w:tcPr>
          <w:p w14:paraId="199367CA">
            <w:pPr>
              <w:numPr>
                <w:ilvl w:val="0"/>
                <w:numId w:val="0"/>
              </w:numPr>
              <w:tabs>
                <w:tab w:val="left" w:pos="360"/>
              </w:tabs>
              <w:spacing w:line="240" w:lineRule="auto"/>
              <w:ind w:left="0" w:firstLine="0"/>
              <w:jc w:val="center"/>
              <w:rPr>
                <w:rFonts w:ascii="宋体"/>
                <w:sz w:val="21"/>
                <w:szCs w:val="21"/>
              </w:rPr>
            </w:pPr>
            <w:r>
              <w:rPr>
                <w:rFonts w:ascii="宋体"/>
                <w:sz w:val="21"/>
                <w:szCs w:val="21"/>
              </w:rPr>
              <w:t>09</w:t>
            </w:r>
          </w:p>
        </w:tc>
        <w:tc>
          <w:tcPr>
            <w:tcW w:w="1233" w:type="dxa"/>
            <w:vMerge w:val="restart"/>
            <w:vAlign w:val="center"/>
          </w:tcPr>
          <w:p w14:paraId="710C350B">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集电线路工程</w:t>
            </w:r>
          </w:p>
        </w:tc>
        <w:tc>
          <w:tcPr>
            <w:tcW w:w="709" w:type="dxa"/>
            <w:vMerge w:val="restart"/>
            <w:vAlign w:val="center"/>
          </w:tcPr>
          <w:p w14:paraId="57BB9317">
            <w:pPr>
              <w:widowControl/>
              <w:numPr>
                <w:ilvl w:val="0"/>
                <w:numId w:val="0"/>
              </w:numPr>
              <w:tabs>
                <w:tab w:val="left" w:pos="360"/>
              </w:tabs>
              <w:spacing w:line="240" w:lineRule="auto"/>
              <w:ind w:left="0" w:firstLine="0"/>
              <w:jc w:val="center"/>
              <w:textAlignment w:val="top"/>
              <w:rPr>
                <w:rFonts w:ascii="宋体" w:hAnsi="宋体" w:cs="宋体"/>
                <w:sz w:val="21"/>
                <w:szCs w:val="21"/>
              </w:rPr>
            </w:pPr>
            <w:r>
              <w:rPr>
                <w:rFonts w:ascii="宋体" w:hAnsi="宋体" w:cs="宋体"/>
                <w:kern w:val="0"/>
                <w:sz w:val="21"/>
                <w:szCs w:val="21"/>
              </w:rPr>
              <w:t>01</w:t>
            </w:r>
          </w:p>
        </w:tc>
        <w:tc>
          <w:tcPr>
            <w:tcW w:w="1843" w:type="dxa"/>
            <w:vMerge w:val="restart"/>
            <w:vAlign w:val="center"/>
          </w:tcPr>
          <w:p w14:paraId="606AEC95">
            <w:pPr>
              <w:widowControl/>
              <w:numPr>
                <w:ilvl w:val="0"/>
                <w:numId w:val="0"/>
              </w:numPr>
              <w:tabs>
                <w:tab w:val="left" w:pos="360"/>
              </w:tabs>
              <w:spacing w:line="240" w:lineRule="auto"/>
              <w:ind w:left="0" w:firstLine="0"/>
              <w:jc w:val="center"/>
              <w:textAlignment w:val="top"/>
              <w:rPr>
                <w:rFonts w:ascii="宋体" w:hAnsi="宋体" w:cs="宋体"/>
                <w:sz w:val="21"/>
                <w:szCs w:val="21"/>
              </w:rPr>
            </w:pPr>
            <w:r>
              <w:rPr>
                <w:rFonts w:hint="eastAsia" w:ascii="宋体" w:hAnsi="宋体" w:cs="宋体"/>
                <w:kern w:val="0"/>
                <w:sz w:val="21"/>
                <w:szCs w:val="21"/>
              </w:rPr>
              <w:t>场内架空电力线路工程</w:t>
            </w:r>
          </w:p>
        </w:tc>
        <w:tc>
          <w:tcPr>
            <w:tcW w:w="709" w:type="dxa"/>
            <w:vAlign w:val="center"/>
          </w:tcPr>
          <w:p w14:paraId="2F320A0E">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ascii="宋体" w:hAnsi="宋体" w:cs="宋体"/>
                <w:kern w:val="0"/>
                <w:sz w:val="21"/>
                <w:szCs w:val="21"/>
              </w:rPr>
              <w:t>01</w:t>
            </w:r>
          </w:p>
        </w:tc>
        <w:tc>
          <w:tcPr>
            <w:tcW w:w="1842" w:type="dxa"/>
            <w:vAlign w:val="center"/>
          </w:tcPr>
          <w:p w14:paraId="4871D25A">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hint="eastAsia" w:ascii="宋体" w:hAnsi="宋体" w:cs="宋体"/>
                <w:kern w:val="0"/>
                <w:sz w:val="21"/>
                <w:szCs w:val="21"/>
              </w:rPr>
              <w:t>电缆基坑及基础埋设</w:t>
            </w:r>
          </w:p>
        </w:tc>
        <w:tc>
          <w:tcPr>
            <w:tcW w:w="7143" w:type="dxa"/>
            <w:vAlign w:val="center"/>
          </w:tcPr>
          <w:p w14:paraId="276DEE7C">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cs="宋体"/>
                <w:kern w:val="0"/>
                <w:sz w:val="21"/>
                <w:szCs w:val="21"/>
              </w:rPr>
              <w:t>路径复测</w:t>
            </w:r>
          </w:p>
        </w:tc>
      </w:tr>
      <w:tr w14:paraId="07E08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D9B6D2A">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41AFFBC9">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6A2DF766">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08CF3B56">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55B50C95">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ascii="宋体" w:hAnsi="宋体" w:cs="宋体"/>
                <w:kern w:val="0"/>
                <w:sz w:val="21"/>
                <w:szCs w:val="21"/>
              </w:rPr>
              <w:t>02</w:t>
            </w:r>
          </w:p>
        </w:tc>
        <w:tc>
          <w:tcPr>
            <w:tcW w:w="1842" w:type="dxa"/>
            <w:vAlign w:val="center"/>
          </w:tcPr>
          <w:p w14:paraId="47E241CC">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hint="eastAsia" w:ascii="宋体" w:hAnsi="宋体" w:cs="宋体"/>
                <w:kern w:val="0"/>
                <w:sz w:val="21"/>
                <w:szCs w:val="21"/>
              </w:rPr>
              <w:t>基础工程</w:t>
            </w:r>
          </w:p>
        </w:tc>
        <w:tc>
          <w:tcPr>
            <w:tcW w:w="7143" w:type="dxa"/>
            <w:vAlign w:val="center"/>
          </w:tcPr>
          <w:p w14:paraId="1501A9BF">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cs="宋体"/>
                <w:sz w:val="21"/>
                <w:szCs w:val="21"/>
              </w:rPr>
              <w:t>灌注桩基础、钢管塔、铁塔基础浇筑前、钢管塔、铁塔基础浇筑后、混凝土电杆基础</w:t>
            </w:r>
          </w:p>
        </w:tc>
      </w:tr>
      <w:tr w14:paraId="39C60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2EAA6AE8">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5984D951">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074DFE05">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31A74778">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121E7C7D">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ascii="宋体" w:hAnsi="宋体" w:cs="宋体"/>
                <w:kern w:val="0"/>
                <w:sz w:val="21"/>
                <w:szCs w:val="21"/>
              </w:rPr>
              <w:t>03</w:t>
            </w:r>
          </w:p>
        </w:tc>
        <w:tc>
          <w:tcPr>
            <w:tcW w:w="1842" w:type="dxa"/>
            <w:vAlign w:val="center"/>
          </w:tcPr>
          <w:p w14:paraId="382021AE">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hint="eastAsia" w:ascii="宋体" w:hAnsi="宋体" w:cs="宋体"/>
                <w:kern w:val="0"/>
                <w:sz w:val="21"/>
                <w:szCs w:val="21"/>
              </w:rPr>
              <w:t>杆塔工程</w:t>
            </w:r>
          </w:p>
        </w:tc>
        <w:tc>
          <w:tcPr>
            <w:tcW w:w="7143" w:type="dxa"/>
            <w:vAlign w:val="center"/>
          </w:tcPr>
          <w:p w14:paraId="7294CFF5">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cs="宋体"/>
                <w:sz w:val="21"/>
                <w:szCs w:val="21"/>
              </w:rPr>
              <w:t>自立铁塔组立、钢管铁塔组立、拉线铁塔组立、钢管杆铁塔组立、混凝土杆组立、铁塔拉线压接</w:t>
            </w:r>
          </w:p>
        </w:tc>
      </w:tr>
      <w:tr w14:paraId="7A602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07E45BE6">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75719A65">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2FCCC247">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3FD170D3">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71F963D6">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04</w:t>
            </w:r>
          </w:p>
        </w:tc>
        <w:tc>
          <w:tcPr>
            <w:tcW w:w="1842" w:type="dxa"/>
            <w:vAlign w:val="center"/>
          </w:tcPr>
          <w:p w14:paraId="07C755BA">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架线工程</w:t>
            </w:r>
          </w:p>
        </w:tc>
        <w:tc>
          <w:tcPr>
            <w:tcW w:w="7143" w:type="dxa"/>
            <w:vAlign w:val="center"/>
          </w:tcPr>
          <w:p w14:paraId="06B7714A">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导地线（含光缆）展放、导地线连接管、导地线（含光缆）紧线、附件安装（含光缆</w:t>
            </w:r>
          </w:p>
        </w:tc>
      </w:tr>
      <w:tr w14:paraId="708F1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2314FC66">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11F781AB">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21A5FA58">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1921155C">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6A1AC1B3">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05</w:t>
            </w:r>
          </w:p>
        </w:tc>
        <w:tc>
          <w:tcPr>
            <w:tcW w:w="1842" w:type="dxa"/>
            <w:vAlign w:val="center"/>
          </w:tcPr>
          <w:p w14:paraId="66245BEC">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接地工程</w:t>
            </w:r>
          </w:p>
        </w:tc>
        <w:tc>
          <w:tcPr>
            <w:tcW w:w="7143" w:type="dxa"/>
            <w:vAlign w:val="center"/>
          </w:tcPr>
          <w:p w14:paraId="3FBC3C05">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接地装置施工</w:t>
            </w:r>
          </w:p>
        </w:tc>
      </w:tr>
      <w:tr w14:paraId="48CB1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278632B">
            <w:pPr>
              <w:numPr>
                <w:ilvl w:val="0"/>
                <w:numId w:val="2"/>
              </w:numPr>
              <w:tabs>
                <w:tab w:val="left" w:pos="360"/>
              </w:tabs>
              <w:spacing w:line="240" w:lineRule="auto"/>
              <w:ind w:left="0" w:firstLine="0"/>
              <w:jc w:val="center"/>
              <w:rPr>
                <w:rFonts w:ascii="宋体"/>
                <w:sz w:val="21"/>
                <w:szCs w:val="21"/>
              </w:rPr>
            </w:pPr>
          </w:p>
        </w:tc>
        <w:tc>
          <w:tcPr>
            <w:tcW w:w="1233" w:type="dxa"/>
            <w:vMerge w:val="continue"/>
            <w:vAlign w:val="center"/>
          </w:tcPr>
          <w:p w14:paraId="76D2675E">
            <w:pPr>
              <w:numPr>
                <w:ilvl w:val="0"/>
                <w:numId w:val="2"/>
              </w:numPr>
              <w:tabs>
                <w:tab w:val="left" w:pos="360"/>
              </w:tabs>
              <w:spacing w:line="240" w:lineRule="auto"/>
              <w:ind w:left="0" w:firstLine="0"/>
              <w:jc w:val="center"/>
              <w:rPr>
                <w:rFonts w:ascii="宋体"/>
                <w:sz w:val="21"/>
                <w:szCs w:val="21"/>
              </w:rPr>
            </w:pPr>
          </w:p>
        </w:tc>
        <w:tc>
          <w:tcPr>
            <w:tcW w:w="709" w:type="dxa"/>
            <w:vMerge w:val="continue"/>
            <w:vAlign w:val="center"/>
          </w:tcPr>
          <w:p w14:paraId="2DD461AD">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0EACF8D2">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1E42FF75">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06</w:t>
            </w:r>
          </w:p>
        </w:tc>
        <w:tc>
          <w:tcPr>
            <w:tcW w:w="1842" w:type="dxa"/>
            <w:vAlign w:val="center"/>
          </w:tcPr>
          <w:p w14:paraId="0506EE16">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线路防护工程</w:t>
            </w:r>
          </w:p>
        </w:tc>
        <w:tc>
          <w:tcPr>
            <w:tcW w:w="7143" w:type="dxa"/>
            <w:vAlign w:val="center"/>
          </w:tcPr>
          <w:p w14:paraId="73FAB982">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线路防护设施</w:t>
            </w:r>
          </w:p>
        </w:tc>
      </w:tr>
      <w:tr w14:paraId="5A8FB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703FB24">
            <w:pPr>
              <w:numPr>
                <w:ilvl w:val="0"/>
                <w:numId w:val="2"/>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79E11E54">
            <w:pPr>
              <w:numPr>
                <w:ilvl w:val="0"/>
                <w:numId w:val="2"/>
              </w:numPr>
              <w:tabs>
                <w:tab w:val="left" w:pos="360"/>
              </w:tabs>
              <w:spacing w:line="240" w:lineRule="auto"/>
              <w:ind w:left="0" w:firstLine="0"/>
              <w:jc w:val="center"/>
              <w:rPr>
                <w:rFonts w:ascii="宋体"/>
                <w:color w:val="FF0000"/>
                <w:sz w:val="21"/>
                <w:szCs w:val="21"/>
              </w:rPr>
            </w:pPr>
          </w:p>
        </w:tc>
        <w:tc>
          <w:tcPr>
            <w:tcW w:w="709" w:type="dxa"/>
            <w:vMerge w:val="continue"/>
            <w:vAlign w:val="center"/>
          </w:tcPr>
          <w:p w14:paraId="0ADA15C7">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63055F99">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209A4D88">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07</w:t>
            </w:r>
          </w:p>
        </w:tc>
        <w:tc>
          <w:tcPr>
            <w:tcW w:w="1842" w:type="dxa"/>
            <w:vAlign w:val="center"/>
          </w:tcPr>
          <w:p w14:paraId="42AF9E0F">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电气工程</w:t>
            </w:r>
          </w:p>
        </w:tc>
        <w:tc>
          <w:tcPr>
            <w:tcW w:w="7143" w:type="dxa"/>
            <w:vAlign w:val="center"/>
          </w:tcPr>
          <w:p w14:paraId="2008D78B">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光缆测试、对地、风偏与交叉跨越、杆上电气设备</w:t>
            </w:r>
          </w:p>
        </w:tc>
      </w:tr>
      <w:tr w14:paraId="0BC05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4B2FD80">
            <w:pPr>
              <w:numPr>
                <w:ilvl w:val="0"/>
                <w:numId w:val="0"/>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41FE2F6A">
            <w:pPr>
              <w:numPr>
                <w:ilvl w:val="0"/>
                <w:numId w:val="0"/>
              </w:numPr>
              <w:tabs>
                <w:tab w:val="left" w:pos="360"/>
              </w:tabs>
              <w:spacing w:line="240" w:lineRule="auto"/>
              <w:ind w:left="0" w:firstLine="0"/>
              <w:jc w:val="center"/>
              <w:rPr>
                <w:rFonts w:ascii="宋体"/>
                <w:color w:val="FF0000"/>
                <w:sz w:val="21"/>
                <w:szCs w:val="21"/>
              </w:rPr>
            </w:pPr>
          </w:p>
        </w:tc>
        <w:tc>
          <w:tcPr>
            <w:tcW w:w="709" w:type="dxa"/>
            <w:vMerge w:val="restart"/>
            <w:vAlign w:val="center"/>
          </w:tcPr>
          <w:p w14:paraId="2274FA5A">
            <w:pPr>
              <w:numPr>
                <w:ilvl w:val="0"/>
                <w:numId w:val="0"/>
              </w:numPr>
              <w:tabs>
                <w:tab w:val="left" w:pos="360"/>
              </w:tabs>
              <w:spacing w:line="240" w:lineRule="auto"/>
              <w:ind w:left="0" w:firstLine="0"/>
              <w:jc w:val="center"/>
              <w:rPr>
                <w:rFonts w:ascii="宋体"/>
                <w:sz w:val="21"/>
                <w:szCs w:val="21"/>
              </w:rPr>
            </w:pPr>
            <w:r>
              <w:rPr>
                <w:rFonts w:ascii="宋体"/>
                <w:sz w:val="21"/>
                <w:szCs w:val="21"/>
              </w:rPr>
              <w:t>02</w:t>
            </w:r>
          </w:p>
        </w:tc>
        <w:tc>
          <w:tcPr>
            <w:tcW w:w="1843" w:type="dxa"/>
            <w:vMerge w:val="restart"/>
            <w:vAlign w:val="center"/>
          </w:tcPr>
          <w:p w14:paraId="189D36A6">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hint="eastAsia" w:ascii="宋体" w:hAnsi="宋体" w:cs="宋体"/>
                <w:kern w:val="0"/>
                <w:sz w:val="21"/>
                <w:szCs w:val="21"/>
              </w:rPr>
              <w:t>电力电缆工程</w:t>
            </w:r>
          </w:p>
        </w:tc>
        <w:tc>
          <w:tcPr>
            <w:tcW w:w="709" w:type="dxa"/>
            <w:vAlign w:val="center"/>
          </w:tcPr>
          <w:p w14:paraId="6066E54A">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01</w:t>
            </w:r>
          </w:p>
        </w:tc>
        <w:tc>
          <w:tcPr>
            <w:tcW w:w="1842" w:type="dxa"/>
            <w:vAlign w:val="center"/>
          </w:tcPr>
          <w:p w14:paraId="718F41CE">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电缆沟制作</w:t>
            </w:r>
          </w:p>
        </w:tc>
        <w:tc>
          <w:tcPr>
            <w:tcW w:w="7143" w:type="dxa"/>
            <w:vAlign w:val="center"/>
          </w:tcPr>
          <w:p w14:paraId="1834B2C3">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开挖、砌筑、混凝土、回填</w:t>
            </w:r>
          </w:p>
        </w:tc>
      </w:tr>
      <w:tr w14:paraId="1C97F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8384E6F">
            <w:pPr>
              <w:numPr>
                <w:ilvl w:val="0"/>
                <w:numId w:val="2"/>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05069B91">
            <w:pPr>
              <w:numPr>
                <w:ilvl w:val="0"/>
                <w:numId w:val="2"/>
              </w:numPr>
              <w:tabs>
                <w:tab w:val="left" w:pos="360"/>
              </w:tabs>
              <w:spacing w:line="240" w:lineRule="auto"/>
              <w:ind w:left="0" w:firstLine="0"/>
              <w:jc w:val="center"/>
              <w:rPr>
                <w:rFonts w:ascii="宋体"/>
                <w:color w:val="FF0000"/>
                <w:sz w:val="21"/>
                <w:szCs w:val="21"/>
              </w:rPr>
            </w:pPr>
          </w:p>
        </w:tc>
        <w:tc>
          <w:tcPr>
            <w:tcW w:w="709" w:type="dxa"/>
            <w:vMerge w:val="continue"/>
            <w:vAlign w:val="center"/>
          </w:tcPr>
          <w:p w14:paraId="140DFE34">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561D7F62">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p>
        </w:tc>
        <w:tc>
          <w:tcPr>
            <w:tcW w:w="709" w:type="dxa"/>
            <w:vAlign w:val="center"/>
          </w:tcPr>
          <w:p w14:paraId="48EF507F">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02</w:t>
            </w:r>
          </w:p>
        </w:tc>
        <w:tc>
          <w:tcPr>
            <w:tcW w:w="1842" w:type="dxa"/>
            <w:vAlign w:val="center"/>
          </w:tcPr>
          <w:p w14:paraId="6149D957">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电缆保护管的配置与敷设</w:t>
            </w:r>
          </w:p>
        </w:tc>
        <w:tc>
          <w:tcPr>
            <w:tcW w:w="7143" w:type="dxa"/>
            <w:vAlign w:val="center"/>
          </w:tcPr>
          <w:p w14:paraId="7D37AFAB">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电缆保护管的配置与敷设</w:t>
            </w:r>
          </w:p>
        </w:tc>
      </w:tr>
      <w:tr w14:paraId="2917A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3AFB272">
            <w:pPr>
              <w:numPr>
                <w:ilvl w:val="0"/>
                <w:numId w:val="2"/>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7F9F9112">
            <w:pPr>
              <w:numPr>
                <w:ilvl w:val="0"/>
                <w:numId w:val="2"/>
              </w:numPr>
              <w:tabs>
                <w:tab w:val="left" w:pos="360"/>
              </w:tabs>
              <w:spacing w:line="240" w:lineRule="auto"/>
              <w:ind w:left="0" w:firstLine="0"/>
              <w:jc w:val="center"/>
              <w:rPr>
                <w:rFonts w:ascii="宋体"/>
                <w:color w:val="FF0000"/>
                <w:sz w:val="21"/>
                <w:szCs w:val="21"/>
              </w:rPr>
            </w:pPr>
          </w:p>
        </w:tc>
        <w:tc>
          <w:tcPr>
            <w:tcW w:w="709" w:type="dxa"/>
            <w:vMerge w:val="continue"/>
            <w:vAlign w:val="center"/>
          </w:tcPr>
          <w:p w14:paraId="668AAD9F">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7895A4D6">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p>
        </w:tc>
        <w:tc>
          <w:tcPr>
            <w:tcW w:w="709" w:type="dxa"/>
            <w:vAlign w:val="center"/>
          </w:tcPr>
          <w:p w14:paraId="7CDCFAAF">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03</w:t>
            </w:r>
          </w:p>
        </w:tc>
        <w:tc>
          <w:tcPr>
            <w:tcW w:w="1842" w:type="dxa"/>
            <w:vAlign w:val="center"/>
          </w:tcPr>
          <w:p w14:paraId="7C85D362">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分接箱的安装</w:t>
            </w:r>
          </w:p>
        </w:tc>
        <w:tc>
          <w:tcPr>
            <w:tcW w:w="7143" w:type="dxa"/>
            <w:vAlign w:val="center"/>
          </w:tcPr>
          <w:p w14:paraId="491918E8">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分接箱的安装</w:t>
            </w:r>
          </w:p>
        </w:tc>
      </w:tr>
      <w:tr w14:paraId="6CEEA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EF3B4C9">
            <w:pPr>
              <w:numPr>
                <w:ilvl w:val="0"/>
                <w:numId w:val="2"/>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03A46A7E">
            <w:pPr>
              <w:numPr>
                <w:ilvl w:val="0"/>
                <w:numId w:val="2"/>
              </w:numPr>
              <w:tabs>
                <w:tab w:val="left" w:pos="360"/>
              </w:tabs>
              <w:spacing w:line="240" w:lineRule="auto"/>
              <w:ind w:left="0" w:firstLine="0"/>
              <w:jc w:val="center"/>
              <w:rPr>
                <w:rFonts w:ascii="宋体"/>
                <w:color w:val="FF0000"/>
                <w:sz w:val="21"/>
                <w:szCs w:val="21"/>
              </w:rPr>
            </w:pPr>
          </w:p>
        </w:tc>
        <w:tc>
          <w:tcPr>
            <w:tcW w:w="709" w:type="dxa"/>
            <w:vMerge w:val="continue"/>
            <w:vAlign w:val="center"/>
          </w:tcPr>
          <w:p w14:paraId="7186AF81">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4BA1BEF0">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p>
        </w:tc>
        <w:tc>
          <w:tcPr>
            <w:tcW w:w="709" w:type="dxa"/>
            <w:vAlign w:val="center"/>
          </w:tcPr>
          <w:p w14:paraId="1245E631">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04</w:t>
            </w:r>
          </w:p>
        </w:tc>
        <w:tc>
          <w:tcPr>
            <w:tcW w:w="1842" w:type="dxa"/>
            <w:vAlign w:val="center"/>
          </w:tcPr>
          <w:p w14:paraId="6527C335">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电缆支架的制作与安装</w:t>
            </w:r>
          </w:p>
        </w:tc>
        <w:tc>
          <w:tcPr>
            <w:tcW w:w="7143" w:type="dxa"/>
            <w:vAlign w:val="center"/>
          </w:tcPr>
          <w:p w14:paraId="6C915FF7">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电缆支架的制作与安装</w:t>
            </w:r>
          </w:p>
        </w:tc>
      </w:tr>
      <w:tr w14:paraId="3E51B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2602D2AB">
            <w:pPr>
              <w:numPr>
                <w:ilvl w:val="0"/>
                <w:numId w:val="2"/>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3790CDA9">
            <w:pPr>
              <w:numPr>
                <w:ilvl w:val="0"/>
                <w:numId w:val="2"/>
              </w:numPr>
              <w:tabs>
                <w:tab w:val="left" w:pos="360"/>
              </w:tabs>
              <w:spacing w:line="240" w:lineRule="auto"/>
              <w:ind w:left="0" w:firstLine="0"/>
              <w:jc w:val="center"/>
              <w:rPr>
                <w:rFonts w:ascii="宋体"/>
                <w:color w:val="FF0000"/>
                <w:sz w:val="21"/>
                <w:szCs w:val="21"/>
              </w:rPr>
            </w:pPr>
          </w:p>
        </w:tc>
        <w:tc>
          <w:tcPr>
            <w:tcW w:w="709" w:type="dxa"/>
            <w:vMerge w:val="continue"/>
            <w:vAlign w:val="center"/>
          </w:tcPr>
          <w:p w14:paraId="7A87BFC2">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29C0FBF5">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p>
        </w:tc>
        <w:tc>
          <w:tcPr>
            <w:tcW w:w="709" w:type="dxa"/>
            <w:vAlign w:val="center"/>
          </w:tcPr>
          <w:p w14:paraId="51873E06">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05</w:t>
            </w:r>
          </w:p>
        </w:tc>
        <w:tc>
          <w:tcPr>
            <w:tcW w:w="1842" w:type="dxa"/>
            <w:vAlign w:val="center"/>
          </w:tcPr>
          <w:p w14:paraId="04A52888">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电缆的敷设</w:t>
            </w:r>
          </w:p>
        </w:tc>
        <w:tc>
          <w:tcPr>
            <w:tcW w:w="7143" w:type="dxa"/>
            <w:vAlign w:val="center"/>
          </w:tcPr>
          <w:p w14:paraId="1BD82866">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电缆的敷设</w:t>
            </w:r>
          </w:p>
        </w:tc>
      </w:tr>
      <w:tr w14:paraId="11C70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1F529B5">
            <w:pPr>
              <w:numPr>
                <w:ilvl w:val="0"/>
                <w:numId w:val="2"/>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3F7E7503">
            <w:pPr>
              <w:numPr>
                <w:ilvl w:val="0"/>
                <w:numId w:val="2"/>
              </w:numPr>
              <w:tabs>
                <w:tab w:val="left" w:pos="360"/>
              </w:tabs>
              <w:spacing w:line="240" w:lineRule="auto"/>
              <w:ind w:left="0" w:firstLine="0"/>
              <w:jc w:val="center"/>
              <w:rPr>
                <w:rFonts w:ascii="宋体"/>
                <w:color w:val="FF0000"/>
                <w:sz w:val="21"/>
                <w:szCs w:val="21"/>
              </w:rPr>
            </w:pPr>
          </w:p>
        </w:tc>
        <w:tc>
          <w:tcPr>
            <w:tcW w:w="709" w:type="dxa"/>
            <w:vMerge w:val="continue"/>
            <w:vAlign w:val="center"/>
          </w:tcPr>
          <w:p w14:paraId="0E8D20A7">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7234931C">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p>
        </w:tc>
        <w:tc>
          <w:tcPr>
            <w:tcW w:w="709" w:type="dxa"/>
            <w:vAlign w:val="center"/>
          </w:tcPr>
          <w:p w14:paraId="2E7B30CD">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06</w:t>
            </w:r>
          </w:p>
        </w:tc>
        <w:tc>
          <w:tcPr>
            <w:tcW w:w="1842" w:type="dxa"/>
            <w:vAlign w:val="center"/>
          </w:tcPr>
          <w:p w14:paraId="5A24DF7A">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电缆终端和接头的制作</w:t>
            </w:r>
          </w:p>
        </w:tc>
        <w:tc>
          <w:tcPr>
            <w:tcW w:w="7143" w:type="dxa"/>
            <w:vAlign w:val="center"/>
          </w:tcPr>
          <w:p w14:paraId="6474E242">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电缆终端的制作及安装、电缆接头的制作及安装</w:t>
            </w:r>
          </w:p>
        </w:tc>
      </w:tr>
      <w:tr w14:paraId="3A6E1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2" w:hRule="atLeast"/>
        </w:trPr>
        <w:tc>
          <w:tcPr>
            <w:tcW w:w="534" w:type="dxa"/>
            <w:vMerge w:val="continue"/>
            <w:tcBorders>
              <w:bottom w:val="single" w:color="auto" w:sz="4" w:space="0"/>
            </w:tcBorders>
            <w:vAlign w:val="center"/>
          </w:tcPr>
          <w:p w14:paraId="529E9E78">
            <w:pPr>
              <w:numPr>
                <w:ilvl w:val="0"/>
                <w:numId w:val="2"/>
              </w:numPr>
              <w:tabs>
                <w:tab w:val="left" w:pos="360"/>
              </w:tabs>
              <w:spacing w:line="240" w:lineRule="auto"/>
              <w:ind w:left="0" w:firstLine="0"/>
              <w:jc w:val="center"/>
              <w:rPr>
                <w:rFonts w:ascii="宋体"/>
                <w:color w:val="FF0000"/>
                <w:sz w:val="21"/>
                <w:szCs w:val="21"/>
              </w:rPr>
            </w:pPr>
          </w:p>
        </w:tc>
        <w:tc>
          <w:tcPr>
            <w:tcW w:w="1233" w:type="dxa"/>
            <w:vMerge w:val="continue"/>
            <w:tcBorders>
              <w:bottom w:val="single" w:color="auto" w:sz="4" w:space="0"/>
            </w:tcBorders>
            <w:vAlign w:val="center"/>
          </w:tcPr>
          <w:p w14:paraId="3CAF4B34">
            <w:pPr>
              <w:numPr>
                <w:ilvl w:val="0"/>
                <w:numId w:val="2"/>
              </w:numPr>
              <w:tabs>
                <w:tab w:val="left" w:pos="360"/>
              </w:tabs>
              <w:spacing w:line="240" w:lineRule="auto"/>
              <w:ind w:left="0" w:firstLine="0"/>
              <w:jc w:val="center"/>
              <w:rPr>
                <w:rFonts w:ascii="宋体"/>
                <w:color w:val="FF0000"/>
                <w:sz w:val="21"/>
                <w:szCs w:val="21"/>
              </w:rPr>
            </w:pPr>
          </w:p>
        </w:tc>
        <w:tc>
          <w:tcPr>
            <w:tcW w:w="709" w:type="dxa"/>
            <w:vMerge w:val="continue"/>
            <w:vAlign w:val="center"/>
          </w:tcPr>
          <w:p w14:paraId="62509DE0">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26EFC077">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p>
        </w:tc>
        <w:tc>
          <w:tcPr>
            <w:tcW w:w="709" w:type="dxa"/>
            <w:vAlign w:val="center"/>
          </w:tcPr>
          <w:p w14:paraId="185DC8B9">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07</w:t>
            </w:r>
          </w:p>
        </w:tc>
        <w:tc>
          <w:tcPr>
            <w:tcW w:w="1842" w:type="dxa"/>
            <w:vAlign w:val="center"/>
          </w:tcPr>
          <w:p w14:paraId="06A3E90F">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电缆防火与阻燃</w:t>
            </w:r>
          </w:p>
        </w:tc>
        <w:tc>
          <w:tcPr>
            <w:tcW w:w="7143" w:type="dxa"/>
            <w:vAlign w:val="center"/>
          </w:tcPr>
          <w:p w14:paraId="48E22066">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电缆防火与阻燃</w:t>
            </w:r>
          </w:p>
        </w:tc>
      </w:tr>
    </w:tbl>
    <w:p w14:paraId="029CB1D2">
      <w:pPr>
        <w:widowControl/>
        <w:adjustRightInd/>
        <w:snapToGrid/>
        <w:spacing w:line="240" w:lineRule="auto"/>
        <w:jc w:val="left"/>
        <w:rPr>
          <w:rFonts w:eastAsia="黑体"/>
          <w:b/>
          <w:bCs/>
          <w:kern w:val="44"/>
          <w:szCs w:val="44"/>
        </w:rPr>
      </w:pPr>
    </w:p>
    <w:p w14:paraId="3B281AFD">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pPr>
      <w:bookmarkStart w:id="118" w:name="_Toc92737155"/>
      <w:bookmarkStart w:id="119" w:name="_Toc10871"/>
      <w:r>
        <w:rPr>
          <w:rFonts w:hint="eastAsia" w:eastAsia="宋体"/>
        </w:rPr>
        <w:t>附录</w:t>
      </w:r>
      <w:r>
        <w:rPr>
          <w:rFonts w:hint="eastAsia" w:eastAsia="宋体"/>
          <w:lang w:val="en-US" w:eastAsia="zh-CN"/>
        </w:rPr>
        <w:t>K</w:t>
      </w:r>
      <w:r>
        <w:rPr>
          <w:rFonts w:hint="eastAsia"/>
          <w:lang w:val="en-US" w:eastAsia="zh-CN"/>
        </w:rPr>
        <w:t xml:space="preserve">  </w:t>
      </w:r>
      <w:r>
        <w:rPr>
          <w:rFonts w:hint="eastAsia" w:eastAsia="宋体"/>
        </w:rPr>
        <w:t>送出线路工程质量验收范围划分表</w:t>
      </w:r>
      <w:bookmarkEnd w:id="118"/>
      <w:bookmarkEnd w:id="119"/>
    </w:p>
    <w:p w14:paraId="2C618FBC">
      <w:pPr>
        <w:spacing w:line="240" w:lineRule="auto"/>
        <w:jc w:val="center"/>
      </w:pPr>
      <w:r>
        <w:rPr>
          <w:rFonts w:hint="eastAsia" w:ascii="黑体" w:hAnsi="黑体" w:eastAsia="黑体" w:cs="黑体"/>
          <w:sz w:val="28"/>
          <w:szCs w:val="28"/>
        </w:rPr>
        <w:t>表</w:t>
      </w:r>
      <w:r>
        <w:rPr>
          <w:rFonts w:hint="default" w:ascii="Times New Roman" w:hAnsi="Times New Roman" w:eastAsia="黑体" w:cs="Times New Roman"/>
          <w:b/>
          <w:bCs/>
          <w:sz w:val="28"/>
          <w:szCs w:val="28"/>
          <w:lang w:val="en-US" w:eastAsia="zh-CN"/>
        </w:rPr>
        <w:t>K</w:t>
      </w:r>
      <w:r>
        <w:rPr>
          <w:rFonts w:hint="eastAsia"/>
          <w:lang w:val="en-US" w:eastAsia="zh-CN"/>
        </w:rPr>
        <w:t xml:space="preserve">  </w:t>
      </w:r>
      <w:r>
        <w:rPr>
          <w:rFonts w:hint="eastAsia" w:ascii="黑体" w:hAnsi="黑体" w:eastAsia="黑体" w:cs="黑体"/>
          <w:sz w:val="28"/>
          <w:szCs w:val="28"/>
        </w:rPr>
        <w:t>送出线路工程质量验收范围划分表</w:t>
      </w:r>
    </w:p>
    <w:tbl>
      <w:tblPr>
        <w:tblStyle w:val="13"/>
        <w:tblW w:w="14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4"/>
        <w:gridCol w:w="1233"/>
        <w:gridCol w:w="709"/>
        <w:gridCol w:w="1843"/>
        <w:gridCol w:w="709"/>
        <w:gridCol w:w="1842"/>
        <w:gridCol w:w="7130"/>
      </w:tblGrid>
      <w:tr w14:paraId="5904D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restart"/>
            <w:vAlign w:val="center"/>
          </w:tcPr>
          <w:p w14:paraId="6200006F">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233" w:type="dxa"/>
            <w:vMerge w:val="restart"/>
            <w:vAlign w:val="center"/>
          </w:tcPr>
          <w:p w14:paraId="55E09192">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单位工程</w:t>
            </w:r>
          </w:p>
        </w:tc>
        <w:tc>
          <w:tcPr>
            <w:tcW w:w="2552" w:type="dxa"/>
            <w:gridSpan w:val="2"/>
            <w:vAlign w:val="center"/>
          </w:tcPr>
          <w:p w14:paraId="009F9130">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分部工程</w:t>
            </w:r>
          </w:p>
        </w:tc>
        <w:tc>
          <w:tcPr>
            <w:tcW w:w="2551" w:type="dxa"/>
            <w:gridSpan w:val="2"/>
            <w:vAlign w:val="center"/>
          </w:tcPr>
          <w:p w14:paraId="4E6C8D19">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子分部工程</w:t>
            </w:r>
          </w:p>
        </w:tc>
        <w:tc>
          <w:tcPr>
            <w:tcW w:w="7130" w:type="dxa"/>
            <w:vMerge w:val="restart"/>
            <w:tcBorders>
              <w:top w:val="single" w:color="auto" w:sz="4" w:space="0"/>
              <w:right w:val="single" w:color="auto" w:sz="4" w:space="0"/>
            </w:tcBorders>
            <w:shd w:val="clear" w:color="auto" w:fill="auto"/>
            <w:vAlign w:val="center"/>
          </w:tcPr>
          <w:p w14:paraId="044B2846">
            <w:pPr>
              <w:widowControl/>
              <w:numPr>
                <w:ilvl w:val="0"/>
                <w:numId w:val="0"/>
              </w:numPr>
              <w:tabs>
                <w:tab w:val="left" w:pos="360"/>
              </w:tabs>
              <w:adjustRightInd/>
              <w:snapToGrid/>
              <w:spacing w:line="240" w:lineRule="auto"/>
              <w:ind w:left="0" w:firstLine="0"/>
              <w:jc w:val="center"/>
              <w:rPr>
                <w:rFonts w:ascii="宋体"/>
                <w:sz w:val="21"/>
                <w:szCs w:val="21"/>
              </w:rPr>
            </w:pPr>
            <w:r>
              <w:rPr>
                <w:rFonts w:hint="eastAsia" w:ascii="宋体"/>
                <w:sz w:val="21"/>
                <w:szCs w:val="21"/>
              </w:rPr>
              <w:t>分项工程</w:t>
            </w:r>
          </w:p>
        </w:tc>
      </w:tr>
      <w:tr w14:paraId="75F59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vMerge w:val="continue"/>
            <w:vAlign w:val="center"/>
          </w:tcPr>
          <w:p w14:paraId="064416FC">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33E5B4AF">
            <w:pPr>
              <w:numPr>
                <w:ilvl w:val="0"/>
                <w:numId w:val="0"/>
              </w:numPr>
              <w:tabs>
                <w:tab w:val="left" w:pos="360"/>
              </w:tabs>
              <w:spacing w:line="240" w:lineRule="auto"/>
              <w:ind w:left="0" w:firstLine="0"/>
              <w:jc w:val="center"/>
              <w:rPr>
                <w:rFonts w:ascii="宋体"/>
                <w:sz w:val="21"/>
                <w:szCs w:val="21"/>
              </w:rPr>
            </w:pPr>
          </w:p>
        </w:tc>
        <w:tc>
          <w:tcPr>
            <w:tcW w:w="709" w:type="dxa"/>
            <w:vAlign w:val="center"/>
          </w:tcPr>
          <w:p w14:paraId="42A52299">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843" w:type="dxa"/>
            <w:vAlign w:val="center"/>
          </w:tcPr>
          <w:p w14:paraId="0DBE62B9">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709" w:type="dxa"/>
            <w:vAlign w:val="center"/>
          </w:tcPr>
          <w:p w14:paraId="683ACE67">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序号</w:t>
            </w:r>
          </w:p>
        </w:tc>
        <w:tc>
          <w:tcPr>
            <w:tcW w:w="1842" w:type="dxa"/>
            <w:vAlign w:val="center"/>
          </w:tcPr>
          <w:p w14:paraId="1D63E0C2">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名称</w:t>
            </w:r>
          </w:p>
        </w:tc>
        <w:tc>
          <w:tcPr>
            <w:tcW w:w="7130" w:type="dxa"/>
            <w:vMerge w:val="continue"/>
            <w:tcBorders>
              <w:right w:val="single" w:color="auto" w:sz="4" w:space="0"/>
            </w:tcBorders>
            <w:vAlign w:val="center"/>
          </w:tcPr>
          <w:p w14:paraId="0CA32DEE">
            <w:pPr>
              <w:numPr>
                <w:ilvl w:val="0"/>
                <w:numId w:val="0"/>
              </w:numPr>
              <w:tabs>
                <w:tab w:val="left" w:pos="360"/>
              </w:tabs>
              <w:spacing w:line="240" w:lineRule="auto"/>
              <w:ind w:left="0" w:firstLine="0"/>
              <w:jc w:val="center"/>
              <w:rPr>
                <w:rFonts w:ascii="宋体"/>
                <w:sz w:val="21"/>
                <w:szCs w:val="21"/>
              </w:rPr>
            </w:pPr>
          </w:p>
        </w:tc>
      </w:tr>
      <w:tr w14:paraId="7836E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restart"/>
            <w:vAlign w:val="center"/>
          </w:tcPr>
          <w:p w14:paraId="615102D0">
            <w:pPr>
              <w:numPr>
                <w:ilvl w:val="0"/>
                <w:numId w:val="0"/>
              </w:numPr>
              <w:tabs>
                <w:tab w:val="left" w:pos="360"/>
              </w:tabs>
              <w:spacing w:line="240" w:lineRule="auto"/>
              <w:ind w:left="0" w:firstLine="0"/>
              <w:jc w:val="center"/>
              <w:rPr>
                <w:rFonts w:ascii="宋体"/>
                <w:sz w:val="21"/>
                <w:szCs w:val="21"/>
              </w:rPr>
            </w:pPr>
            <w:r>
              <w:rPr>
                <w:rFonts w:ascii="宋体"/>
                <w:sz w:val="21"/>
                <w:szCs w:val="21"/>
              </w:rPr>
              <w:t>10</w:t>
            </w:r>
          </w:p>
        </w:tc>
        <w:tc>
          <w:tcPr>
            <w:tcW w:w="1233" w:type="dxa"/>
            <w:vMerge w:val="restart"/>
            <w:vAlign w:val="center"/>
          </w:tcPr>
          <w:p w14:paraId="4C066E0B">
            <w:pPr>
              <w:numPr>
                <w:ilvl w:val="0"/>
                <w:numId w:val="0"/>
              </w:numPr>
              <w:tabs>
                <w:tab w:val="left" w:pos="360"/>
              </w:tabs>
              <w:spacing w:line="240" w:lineRule="auto"/>
              <w:ind w:left="0" w:firstLine="0"/>
              <w:jc w:val="center"/>
              <w:rPr>
                <w:rFonts w:ascii="宋体"/>
                <w:sz w:val="21"/>
                <w:szCs w:val="21"/>
              </w:rPr>
            </w:pPr>
            <w:r>
              <w:rPr>
                <w:rFonts w:hint="eastAsia" w:ascii="宋体"/>
                <w:sz w:val="21"/>
                <w:szCs w:val="21"/>
              </w:rPr>
              <w:t>送出线路工程</w:t>
            </w:r>
          </w:p>
        </w:tc>
        <w:tc>
          <w:tcPr>
            <w:tcW w:w="709" w:type="dxa"/>
            <w:vMerge w:val="restart"/>
            <w:vAlign w:val="center"/>
          </w:tcPr>
          <w:p w14:paraId="24443831">
            <w:pPr>
              <w:widowControl/>
              <w:numPr>
                <w:ilvl w:val="0"/>
                <w:numId w:val="0"/>
              </w:numPr>
              <w:tabs>
                <w:tab w:val="left" w:pos="360"/>
              </w:tabs>
              <w:spacing w:line="240" w:lineRule="auto"/>
              <w:ind w:left="0" w:firstLine="0"/>
              <w:jc w:val="center"/>
              <w:textAlignment w:val="top"/>
              <w:rPr>
                <w:rFonts w:ascii="宋体" w:hAnsi="宋体" w:cs="宋体"/>
                <w:sz w:val="21"/>
                <w:szCs w:val="21"/>
              </w:rPr>
            </w:pPr>
            <w:r>
              <w:rPr>
                <w:rFonts w:ascii="宋体" w:hAnsi="宋体" w:cs="宋体"/>
                <w:kern w:val="0"/>
                <w:sz w:val="21"/>
                <w:szCs w:val="21"/>
              </w:rPr>
              <w:t>01</w:t>
            </w:r>
          </w:p>
        </w:tc>
        <w:tc>
          <w:tcPr>
            <w:tcW w:w="1843" w:type="dxa"/>
            <w:vMerge w:val="restart"/>
            <w:vAlign w:val="center"/>
          </w:tcPr>
          <w:p w14:paraId="56F5AB88">
            <w:pPr>
              <w:widowControl/>
              <w:numPr>
                <w:ilvl w:val="0"/>
                <w:numId w:val="0"/>
              </w:numPr>
              <w:tabs>
                <w:tab w:val="left" w:pos="360"/>
              </w:tabs>
              <w:spacing w:line="240" w:lineRule="auto"/>
              <w:ind w:left="0" w:firstLine="0"/>
              <w:jc w:val="center"/>
              <w:textAlignment w:val="top"/>
              <w:rPr>
                <w:rFonts w:ascii="宋体" w:hAnsi="宋体" w:cs="宋体"/>
                <w:sz w:val="21"/>
                <w:szCs w:val="21"/>
              </w:rPr>
            </w:pPr>
            <w:r>
              <w:rPr>
                <w:rFonts w:hint="eastAsia" w:ascii="宋体" w:hAnsi="宋体" w:cs="宋体"/>
                <w:kern w:val="0"/>
                <w:sz w:val="21"/>
                <w:szCs w:val="21"/>
              </w:rPr>
              <w:t>架空电力线路工程</w:t>
            </w:r>
          </w:p>
        </w:tc>
        <w:tc>
          <w:tcPr>
            <w:tcW w:w="709" w:type="dxa"/>
            <w:vAlign w:val="center"/>
          </w:tcPr>
          <w:p w14:paraId="6D718E9A">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ascii="宋体" w:hAnsi="宋体" w:cs="宋体"/>
                <w:kern w:val="0"/>
                <w:sz w:val="21"/>
                <w:szCs w:val="21"/>
              </w:rPr>
              <w:t>01</w:t>
            </w:r>
          </w:p>
        </w:tc>
        <w:tc>
          <w:tcPr>
            <w:tcW w:w="1842" w:type="dxa"/>
            <w:vAlign w:val="center"/>
          </w:tcPr>
          <w:p w14:paraId="2ACA4892">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hint="eastAsia" w:ascii="宋体" w:hAnsi="宋体" w:cs="宋体"/>
                <w:kern w:val="0"/>
                <w:sz w:val="21"/>
                <w:szCs w:val="21"/>
              </w:rPr>
              <w:t>土石方工程</w:t>
            </w:r>
          </w:p>
        </w:tc>
        <w:tc>
          <w:tcPr>
            <w:tcW w:w="7130" w:type="dxa"/>
            <w:vAlign w:val="center"/>
          </w:tcPr>
          <w:p w14:paraId="77E40FF8">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cs="宋体"/>
                <w:kern w:val="0"/>
                <w:sz w:val="21"/>
                <w:szCs w:val="21"/>
              </w:rPr>
              <w:t>路径复测、普通基础坑分坑及开挖、拉线基础坑分坑及开挖、岩石、掏挖基础分坑及开挖、施工基面及电气开方</w:t>
            </w:r>
          </w:p>
        </w:tc>
      </w:tr>
      <w:tr w14:paraId="45603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69CB6A80">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3A4938D1">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1BBA85D0">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4A208707">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051B839A">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ascii="宋体" w:hAnsi="宋体" w:cs="宋体"/>
                <w:kern w:val="0"/>
                <w:sz w:val="21"/>
                <w:szCs w:val="21"/>
              </w:rPr>
              <w:t>02</w:t>
            </w:r>
          </w:p>
        </w:tc>
        <w:tc>
          <w:tcPr>
            <w:tcW w:w="1842" w:type="dxa"/>
            <w:vAlign w:val="center"/>
          </w:tcPr>
          <w:p w14:paraId="7631B8A6">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hint="eastAsia" w:ascii="宋体" w:hAnsi="宋体" w:cs="宋体"/>
                <w:kern w:val="0"/>
                <w:sz w:val="21"/>
                <w:szCs w:val="21"/>
              </w:rPr>
              <w:t>基础工程</w:t>
            </w:r>
          </w:p>
        </w:tc>
        <w:tc>
          <w:tcPr>
            <w:tcW w:w="7130" w:type="dxa"/>
            <w:vAlign w:val="center"/>
          </w:tcPr>
          <w:p w14:paraId="60B48910">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cs="宋体"/>
                <w:sz w:val="21"/>
                <w:szCs w:val="21"/>
              </w:rPr>
              <w:t>现浇铁塔基础施工、杆塔拉线（含锚杆拉线）基础施工、预制装配式基础施工、混凝土杆预制基础（三盘）施工、岩石、掏挖基础施工、灌注桩基础施工、贯入桩基础施工、</w:t>
            </w:r>
          </w:p>
        </w:tc>
      </w:tr>
      <w:tr w14:paraId="4330E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5ABFFDF8">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5FBC185C">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74AFD241">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1BD12EC8">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09006998">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ascii="宋体" w:hAnsi="宋体" w:cs="宋体"/>
                <w:kern w:val="0"/>
                <w:sz w:val="21"/>
                <w:szCs w:val="21"/>
              </w:rPr>
              <w:t>03</w:t>
            </w:r>
          </w:p>
        </w:tc>
        <w:tc>
          <w:tcPr>
            <w:tcW w:w="1842" w:type="dxa"/>
            <w:vAlign w:val="center"/>
          </w:tcPr>
          <w:p w14:paraId="2C491E25">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hint="eastAsia" w:ascii="宋体" w:hAnsi="宋体" w:cs="宋体"/>
                <w:kern w:val="0"/>
                <w:sz w:val="21"/>
                <w:szCs w:val="21"/>
              </w:rPr>
              <w:t>杆塔工程</w:t>
            </w:r>
          </w:p>
        </w:tc>
        <w:tc>
          <w:tcPr>
            <w:tcW w:w="7130" w:type="dxa"/>
            <w:vAlign w:val="center"/>
          </w:tcPr>
          <w:p w14:paraId="2CA9C326">
            <w:pPr>
              <w:widowControl/>
              <w:numPr>
                <w:ilvl w:val="0"/>
                <w:numId w:val="0"/>
              </w:numPr>
              <w:tabs>
                <w:tab w:val="left" w:pos="360"/>
              </w:tabs>
              <w:spacing w:line="240" w:lineRule="auto"/>
              <w:ind w:left="0" w:firstLine="0"/>
              <w:jc w:val="left"/>
              <w:textAlignment w:val="center"/>
              <w:rPr>
                <w:rFonts w:ascii="宋体" w:hAnsi="宋体" w:cs="宋体"/>
                <w:sz w:val="21"/>
                <w:szCs w:val="21"/>
              </w:rPr>
            </w:pPr>
            <w:r>
              <w:rPr>
                <w:rFonts w:hint="eastAsia" w:ascii="宋体" w:hAnsi="宋体" w:cs="宋体"/>
                <w:sz w:val="21"/>
                <w:szCs w:val="21"/>
              </w:rPr>
              <w:t>自立铁塔组立、拉线铁塔组立、混凝土铁塔组立、钢管电杆组立</w:t>
            </w:r>
          </w:p>
        </w:tc>
      </w:tr>
      <w:tr w14:paraId="67075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6714662">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424F6540">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4EB194A1">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7E80F5B9">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736FC390">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04</w:t>
            </w:r>
          </w:p>
        </w:tc>
        <w:tc>
          <w:tcPr>
            <w:tcW w:w="1842" w:type="dxa"/>
            <w:vAlign w:val="center"/>
          </w:tcPr>
          <w:p w14:paraId="43446A7B">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架线工程</w:t>
            </w:r>
          </w:p>
        </w:tc>
        <w:tc>
          <w:tcPr>
            <w:tcW w:w="7130" w:type="dxa"/>
            <w:vAlign w:val="center"/>
          </w:tcPr>
          <w:p w14:paraId="5DF33941">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导线、地线展放、导线、地线压接管施工、紧线、附件安装、交叉跨越</w:t>
            </w:r>
          </w:p>
        </w:tc>
      </w:tr>
      <w:tr w14:paraId="37383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15C3702E">
            <w:pPr>
              <w:numPr>
                <w:ilvl w:val="0"/>
                <w:numId w:val="0"/>
              </w:numPr>
              <w:tabs>
                <w:tab w:val="left" w:pos="360"/>
              </w:tabs>
              <w:spacing w:line="240" w:lineRule="auto"/>
              <w:ind w:left="0" w:firstLine="0"/>
              <w:jc w:val="center"/>
              <w:rPr>
                <w:rFonts w:ascii="宋体"/>
                <w:sz w:val="21"/>
                <w:szCs w:val="21"/>
              </w:rPr>
            </w:pPr>
          </w:p>
        </w:tc>
        <w:tc>
          <w:tcPr>
            <w:tcW w:w="1233" w:type="dxa"/>
            <w:vMerge w:val="continue"/>
            <w:vAlign w:val="center"/>
          </w:tcPr>
          <w:p w14:paraId="725021D8">
            <w:pPr>
              <w:numPr>
                <w:ilvl w:val="0"/>
                <w:numId w:val="0"/>
              </w:numPr>
              <w:tabs>
                <w:tab w:val="left" w:pos="360"/>
              </w:tabs>
              <w:spacing w:line="240" w:lineRule="auto"/>
              <w:ind w:left="0" w:firstLine="0"/>
              <w:jc w:val="center"/>
              <w:rPr>
                <w:rFonts w:ascii="宋体"/>
                <w:sz w:val="21"/>
                <w:szCs w:val="21"/>
              </w:rPr>
            </w:pPr>
          </w:p>
        </w:tc>
        <w:tc>
          <w:tcPr>
            <w:tcW w:w="709" w:type="dxa"/>
            <w:vMerge w:val="continue"/>
            <w:vAlign w:val="center"/>
          </w:tcPr>
          <w:p w14:paraId="71197EB1">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5B1F500C">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10D24FCE">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05</w:t>
            </w:r>
          </w:p>
        </w:tc>
        <w:tc>
          <w:tcPr>
            <w:tcW w:w="1842" w:type="dxa"/>
            <w:vAlign w:val="center"/>
          </w:tcPr>
          <w:p w14:paraId="33377E0B">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接地工程</w:t>
            </w:r>
          </w:p>
        </w:tc>
        <w:tc>
          <w:tcPr>
            <w:tcW w:w="7130" w:type="dxa"/>
            <w:vAlign w:val="center"/>
          </w:tcPr>
          <w:p w14:paraId="63D9C0B1">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水平接地装置施工、垂直接地装置施工</w:t>
            </w:r>
          </w:p>
        </w:tc>
      </w:tr>
      <w:tr w14:paraId="10428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65F7E62F">
            <w:pPr>
              <w:numPr>
                <w:ilvl w:val="0"/>
                <w:numId w:val="2"/>
              </w:numPr>
              <w:tabs>
                <w:tab w:val="left" w:pos="360"/>
              </w:tabs>
              <w:spacing w:line="240" w:lineRule="auto"/>
              <w:ind w:left="0" w:firstLine="0"/>
              <w:jc w:val="center"/>
              <w:rPr>
                <w:rFonts w:ascii="宋体"/>
                <w:sz w:val="21"/>
                <w:szCs w:val="21"/>
              </w:rPr>
            </w:pPr>
          </w:p>
        </w:tc>
        <w:tc>
          <w:tcPr>
            <w:tcW w:w="1233" w:type="dxa"/>
            <w:vMerge w:val="continue"/>
            <w:vAlign w:val="center"/>
          </w:tcPr>
          <w:p w14:paraId="726A8507">
            <w:pPr>
              <w:numPr>
                <w:ilvl w:val="0"/>
                <w:numId w:val="2"/>
              </w:numPr>
              <w:tabs>
                <w:tab w:val="left" w:pos="360"/>
              </w:tabs>
              <w:spacing w:line="240" w:lineRule="auto"/>
              <w:ind w:left="0" w:firstLine="0"/>
              <w:jc w:val="center"/>
              <w:rPr>
                <w:rFonts w:ascii="宋体"/>
                <w:sz w:val="21"/>
                <w:szCs w:val="21"/>
              </w:rPr>
            </w:pPr>
          </w:p>
        </w:tc>
        <w:tc>
          <w:tcPr>
            <w:tcW w:w="709" w:type="dxa"/>
            <w:vMerge w:val="continue"/>
            <w:vAlign w:val="center"/>
          </w:tcPr>
          <w:p w14:paraId="04D5F7B0">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7FB53A9D">
            <w:pPr>
              <w:widowControl/>
              <w:numPr>
                <w:ilvl w:val="0"/>
                <w:numId w:val="0"/>
              </w:numPr>
              <w:tabs>
                <w:tab w:val="left" w:pos="360"/>
              </w:tabs>
              <w:spacing w:line="240" w:lineRule="auto"/>
              <w:ind w:left="0" w:firstLine="0"/>
              <w:jc w:val="center"/>
              <w:textAlignment w:val="center"/>
              <w:rPr>
                <w:rFonts w:ascii="宋体" w:hAnsi="宋体" w:cs="宋体"/>
                <w:sz w:val="21"/>
                <w:szCs w:val="21"/>
              </w:rPr>
            </w:pPr>
          </w:p>
        </w:tc>
        <w:tc>
          <w:tcPr>
            <w:tcW w:w="709" w:type="dxa"/>
            <w:vAlign w:val="center"/>
          </w:tcPr>
          <w:p w14:paraId="657FE243">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06</w:t>
            </w:r>
          </w:p>
        </w:tc>
        <w:tc>
          <w:tcPr>
            <w:tcW w:w="1842" w:type="dxa"/>
            <w:vAlign w:val="center"/>
          </w:tcPr>
          <w:p w14:paraId="291834D4">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线路防护设施施工</w:t>
            </w:r>
          </w:p>
        </w:tc>
        <w:tc>
          <w:tcPr>
            <w:tcW w:w="7130" w:type="dxa"/>
            <w:vAlign w:val="center"/>
          </w:tcPr>
          <w:p w14:paraId="530BE4B5">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线路防护设施施工</w:t>
            </w:r>
          </w:p>
        </w:tc>
      </w:tr>
      <w:tr w14:paraId="47C37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660C4199">
            <w:pPr>
              <w:numPr>
                <w:ilvl w:val="0"/>
                <w:numId w:val="0"/>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36FE01FC">
            <w:pPr>
              <w:numPr>
                <w:ilvl w:val="0"/>
                <w:numId w:val="0"/>
              </w:numPr>
              <w:tabs>
                <w:tab w:val="left" w:pos="360"/>
              </w:tabs>
              <w:spacing w:line="240" w:lineRule="auto"/>
              <w:ind w:left="0" w:firstLine="0"/>
              <w:jc w:val="center"/>
              <w:rPr>
                <w:rFonts w:ascii="宋体"/>
                <w:color w:val="FF0000"/>
                <w:sz w:val="21"/>
                <w:szCs w:val="21"/>
              </w:rPr>
            </w:pPr>
          </w:p>
        </w:tc>
        <w:tc>
          <w:tcPr>
            <w:tcW w:w="709" w:type="dxa"/>
            <w:vMerge w:val="restart"/>
            <w:vAlign w:val="center"/>
          </w:tcPr>
          <w:p w14:paraId="17BE9CBF">
            <w:pPr>
              <w:numPr>
                <w:ilvl w:val="0"/>
                <w:numId w:val="0"/>
              </w:numPr>
              <w:tabs>
                <w:tab w:val="left" w:pos="360"/>
              </w:tabs>
              <w:spacing w:line="240" w:lineRule="auto"/>
              <w:ind w:left="0" w:firstLine="0"/>
              <w:jc w:val="center"/>
              <w:rPr>
                <w:rFonts w:ascii="宋体"/>
                <w:sz w:val="21"/>
                <w:szCs w:val="21"/>
              </w:rPr>
            </w:pPr>
            <w:r>
              <w:rPr>
                <w:rFonts w:ascii="宋体"/>
                <w:sz w:val="21"/>
                <w:szCs w:val="21"/>
              </w:rPr>
              <w:t>02</w:t>
            </w:r>
          </w:p>
        </w:tc>
        <w:tc>
          <w:tcPr>
            <w:tcW w:w="1843" w:type="dxa"/>
            <w:vMerge w:val="restart"/>
            <w:vAlign w:val="center"/>
          </w:tcPr>
          <w:p w14:paraId="55216BA1">
            <w:pPr>
              <w:widowControl/>
              <w:numPr>
                <w:ilvl w:val="0"/>
                <w:numId w:val="0"/>
              </w:numPr>
              <w:tabs>
                <w:tab w:val="left" w:pos="360"/>
              </w:tabs>
              <w:spacing w:line="240" w:lineRule="auto"/>
              <w:ind w:left="0" w:firstLine="0"/>
              <w:jc w:val="center"/>
              <w:textAlignment w:val="center"/>
              <w:rPr>
                <w:rFonts w:ascii="宋体" w:hAnsi="宋体" w:cs="宋体"/>
                <w:sz w:val="21"/>
                <w:szCs w:val="21"/>
              </w:rPr>
            </w:pPr>
            <w:r>
              <w:rPr>
                <w:rFonts w:hint="eastAsia" w:ascii="宋体" w:hAnsi="宋体" w:cs="宋体"/>
                <w:kern w:val="0"/>
                <w:sz w:val="21"/>
                <w:szCs w:val="21"/>
              </w:rPr>
              <w:t>电力电缆工程</w:t>
            </w:r>
          </w:p>
        </w:tc>
        <w:tc>
          <w:tcPr>
            <w:tcW w:w="709" w:type="dxa"/>
            <w:vAlign w:val="center"/>
          </w:tcPr>
          <w:p w14:paraId="2661C84D">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01</w:t>
            </w:r>
          </w:p>
        </w:tc>
        <w:tc>
          <w:tcPr>
            <w:tcW w:w="1842" w:type="dxa"/>
            <w:vAlign w:val="center"/>
          </w:tcPr>
          <w:p w14:paraId="2BBB881A">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电缆沟制作</w:t>
            </w:r>
          </w:p>
        </w:tc>
        <w:tc>
          <w:tcPr>
            <w:tcW w:w="7130" w:type="dxa"/>
            <w:vAlign w:val="center"/>
          </w:tcPr>
          <w:p w14:paraId="1C19E2CD">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开挖、砌筑、混凝土、回填</w:t>
            </w:r>
          </w:p>
        </w:tc>
      </w:tr>
      <w:tr w14:paraId="02580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40B55814">
            <w:pPr>
              <w:numPr>
                <w:ilvl w:val="0"/>
                <w:numId w:val="2"/>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0598C3C5">
            <w:pPr>
              <w:numPr>
                <w:ilvl w:val="0"/>
                <w:numId w:val="2"/>
              </w:numPr>
              <w:tabs>
                <w:tab w:val="left" w:pos="360"/>
              </w:tabs>
              <w:spacing w:line="240" w:lineRule="auto"/>
              <w:ind w:left="0" w:firstLine="0"/>
              <w:jc w:val="center"/>
              <w:rPr>
                <w:rFonts w:ascii="宋体"/>
                <w:color w:val="FF0000"/>
                <w:sz w:val="21"/>
                <w:szCs w:val="21"/>
              </w:rPr>
            </w:pPr>
          </w:p>
        </w:tc>
        <w:tc>
          <w:tcPr>
            <w:tcW w:w="709" w:type="dxa"/>
            <w:vMerge w:val="continue"/>
            <w:vAlign w:val="center"/>
          </w:tcPr>
          <w:p w14:paraId="4CFE55D3">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02D01DA1">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p>
        </w:tc>
        <w:tc>
          <w:tcPr>
            <w:tcW w:w="709" w:type="dxa"/>
            <w:vAlign w:val="center"/>
          </w:tcPr>
          <w:p w14:paraId="00B2461D">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02</w:t>
            </w:r>
          </w:p>
        </w:tc>
        <w:tc>
          <w:tcPr>
            <w:tcW w:w="1842" w:type="dxa"/>
            <w:vAlign w:val="center"/>
          </w:tcPr>
          <w:p w14:paraId="2968440C">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电缆保护管的配置与敷设</w:t>
            </w:r>
          </w:p>
        </w:tc>
        <w:tc>
          <w:tcPr>
            <w:tcW w:w="7130" w:type="dxa"/>
            <w:vAlign w:val="center"/>
          </w:tcPr>
          <w:p w14:paraId="6FB9213D">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电缆保护管的配置与敷设</w:t>
            </w:r>
          </w:p>
        </w:tc>
      </w:tr>
      <w:tr w14:paraId="13E71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BD29DDC">
            <w:pPr>
              <w:numPr>
                <w:ilvl w:val="0"/>
                <w:numId w:val="2"/>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393089AF">
            <w:pPr>
              <w:numPr>
                <w:ilvl w:val="0"/>
                <w:numId w:val="2"/>
              </w:numPr>
              <w:tabs>
                <w:tab w:val="left" w:pos="360"/>
              </w:tabs>
              <w:spacing w:line="240" w:lineRule="auto"/>
              <w:ind w:left="0" w:firstLine="0"/>
              <w:jc w:val="center"/>
              <w:rPr>
                <w:rFonts w:ascii="宋体"/>
                <w:color w:val="FF0000"/>
                <w:sz w:val="21"/>
                <w:szCs w:val="21"/>
              </w:rPr>
            </w:pPr>
          </w:p>
        </w:tc>
        <w:tc>
          <w:tcPr>
            <w:tcW w:w="709" w:type="dxa"/>
            <w:vMerge w:val="continue"/>
            <w:vAlign w:val="center"/>
          </w:tcPr>
          <w:p w14:paraId="40E381F4">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26263D2A">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p>
        </w:tc>
        <w:tc>
          <w:tcPr>
            <w:tcW w:w="709" w:type="dxa"/>
            <w:vAlign w:val="center"/>
          </w:tcPr>
          <w:p w14:paraId="3AB70DD1">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03</w:t>
            </w:r>
          </w:p>
        </w:tc>
        <w:tc>
          <w:tcPr>
            <w:tcW w:w="1842" w:type="dxa"/>
            <w:vAlign w:val="center"/>
          </w:tcPr>
          <w:p w14:paraId="408BB14D">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分接箱的安装</w:t>
            </w:r>
          </w:p>
        </w:tc>
        <w:tc>
          <w:tcPr>
            <w:tcW w:w="7130" w:type="dxa"/>
            <w:vAlign w:val="center"/>
          </w:tcPr>
          <w:p w14:paraId="58E249AD">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分接箱的安装</w:t>
            </w:r>
          </w:p>
        </w:tc>
      </w:tr>
      <w:tr w14:paraId="49556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0E60ED91">
            <w:pPr>
              <w:numPr>
                <w:ilvl w:val="0"/>
                <w:numId w:val="2"/>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2B04172A">
            <w:pPr>
              <w:numPr>
                <w:ilvl w:val="0"/>
                <w:numId w:val="2"/>
              </w:numPr>
              <w:tabs>
                <w:tab w:val="left" w:pos="360"/>
              </w:tabs>
              <w:spacing w:line="240" w:lineRule="auto"/>
              <w:ind w:left="0" w:firstLine="0"/>
              <w:jc w:val="center"/>
              <w:rPr>
                <w:rFonts w:ascii="宋体"/>
                <w:color w:val="FF0000"/>
                <w:sz w:val="21"/>
                <w:szCs w:val="21"/>
              </w:rPr>
            </w:pPr>
          </w:p>
        </w:tc>
        <w:tc>
          <w:tcPr>
            <w:tcW w:w="709" w:type="dxa"/>
            <w:vMerge w:val="continue"/>
            <w:vAlign w:val="center"/>
          </w:tcPr>
          <w:p w14:paraId="01AACE26">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245809F9">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p>
        </w:tc>
        <w:tc>
          <w:tcPr>
            <w:tcW w:w="709" w:type="dxa"/>
            <w:vAlign w:val="center"/>
          </w:tcPr>
          <w:p w14:paraId="1E80B261">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04</w:t>
            </w:r>
          </w:p>
        </w:tc>
        <w:tc>
          <w:tcPr>
            <w:tcW w:w="1842" w:type="dxa"/>
            <w:vAlign w:val="center"/>
          </w:tcPr>
          <w:p w14:paraId="6D6DE0FE">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电缆支架的制作与安装</w:t>
            </w:r>
          </w:p>
        </w:tc>
        <w:tc>
          <w:tcPr>
            <w:tcW w:w="7130" w:type="dxa"/>
            <w:vAlign w:val="center"/>
          </w:tcPr>
          <w:p w14:paraId="30E31D4D">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电缆支架的制作与安装</w:t>
            </w:r>
          </w:p>
        </w:tc>
      </w:tr>
      <w:tr w14:paraId="0E43D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7D39D80A">
            <w:pPr>
              <w:numPr>
                <w:ilvl w:val="0"/>
                <w:numId w:val="2"/>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270DCA79">
            <w:pPr>
              <w:numPr>
                <w:ilvl w:val="0"/>
                <w:numId w:val="2"/>
              </w:numPr>
              <w:tabs>
                <w:tab w:val="left" w:pos="360"/>
              </w:tabs>
              <w:spacing w:line="240" w:lineRule="auto"/>
              <w:ind w:left="0" w:firstLine="0"/>
              <w:jc w:val="center"/>
              <w:rPr>
                <w:rFonts w:ascii="宋体"/>
                <w:color w:val="FF0000"/>
                <w:sz w:val="21"/>
                <w:szCs w:val="21"/>
              </w:rPr>
            </w:pPr>
          </w:p>
        </w:tc>
        <w:tc>
          <w:tcPr>
            <w:tcW w:w="709" w:type="dxa"/>
            <w:vMerge w:val="continue"/>
            <w:vAlign w:val="center"/>
          </w:tcPr>
          <w:p w14:paraId="1C0A076D">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3184CA2A">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p>
        </w:tc>
        <w:tc>
          <w:tcPr>
            <w:tcW w:w="709" w:type="dxa"/>
            <w:vAlign w:val="center"/>
          </w:tcPr>
          <w:p w14:paraId="3C7508B1">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05</w:t>
            </w:r>
          </w:p>
        </w:tc>
        <w:tc>
          <w:tcPr>
            <w:tcW w:w="1842" w:type="dxa"/>
            <w:vAlign w:val="center"/>
          </w:tcPr>
          <w:p w14:paraId="38CC6D6C">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电缆的敷设</w:t>
            </w:r>
          </w:p>
        </w:tc>
        <w:tc>
          <w:tcPr>
            <w:tcW w:w="7130" w:type="dxa"/>
            <w:vAlign w:val="center"/>
          </w:tcPr>
          <w:p w14:paraId="5FD4BB7D">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电缆的敷设</w:t>
            </w:r>
          </w:p>
        </w:tc>
      </w:tr>
      <w:tr w14:paraId="49812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vAlign w:val="center"/>
          </w:tcPr>
          <w:p w14:paraId="347F1589">
            <w:pPr>
              <w:numPr>
                <w:ilvl w:val="0"/>
                <w:numId w:val="2"/>
              </w:numPr>
              <w:tabs>
                <w:tab w:val="left" w:pos="360"/>
              </w:tabs>
              <w:spacing w:line="240" w:lineRule="auto"/>
              <w:ind w:left="0" w:firstLine="0"/>
              <w:jc w:val="center"/>
              <w:rPr>
                <w:rFonts w:ascii="宋体"/>
                <w:color w:val="FF0000"/>
                <w:sz w:val="21"/>
                <w:szCs w:val="21"/>
              </w:rPr>
            </w:pPr>
          </w:p>
        </w:tc>
        <w:tc>
          <w:tcPr>
            <w:tcW w:w="1233" w:type="dxa"/>
            <w:vMerge w:val="continue"/>
            <w:vAlign w:val="center"/>
          </w:tcPr>
          <w:p w14:paraId="344DDE6B">
            <w:pPr>
              <w:numPr>
                <w:ilvl w:val="0"/>
                <w:numId w:val="2"/>
              </w:numPr>
              <w:tabs>
                <w:tab w:val="left" w:pos="360"/>
              </w:tabs>
              <w:spacing w:line="240" w:lineRule="auto"/>
              <w:ind w:left="0" w:firstLine="0"/>
              <w:jc w:val="center"/>
              <w:rPr>
                <w:rFonts w:ascii="宋体"/>
                <w:color w:val="FF0000"/>
                <w:sz w:val="21"/>
                <w:szCs w:val="21"/>
              </w:rPr>
            </w:pPr>
          </w:p>
        </w:tc>
        <w:tc>
          <w:tcPr>
            <w:tcW w:w="709" w:type="dxa"/>
            <w:vMerge w:val="continue"/>
            <w:vAlign w:val="center"/>
          </w:tcPr>
          <w:p w14:paraId="73FA934A">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47B4EEF4">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p>
        </w:tc>
        <w:tc>
          <w:tcPr>
            <w:tcW w:w="709" w:type="dxa"/>
            <w:vAlign w:val="center"/>
          </w:tcPr>
          <w:p w14:paraId="1D04DE28">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06</w:t>
            </w:r>
          </w:p>
        </w:tc>
        <w:tc>
          <w:tcPr>
            <w:tcW w:w="1842" w:type="dxa"/>
            <w:vAlign w:val="center"/>
          </w:tcPr>
          <w:p w14:paraId="5FF3A810">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电缆终端和接头的制作</w:t>
            </w:r>
          </w:p>
        </w:tc>
        <w:tc>
          <w:tcPr>
            <w:tcW w:w="7130" w:type="dxa"/>
            <w:vAlign w:val="center"/>
          </w:tcPr>
          <w:p w14:paraId="79ADFF9D">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电缆终端的制作及安装、电缆接头的制作及安装</w:t>
            </w:r>
          </w:p>
        </w:tc>
      </w:tr>
      <w:tr w14:paraId="65321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534" w:type="dxa"/>
            <w:vMerge w:val="continue"/>
            <w:tcBorders>
              <w:bottom w:val="single" w:color="auto" w:sz="4" w:space="0"/>
            </w:tcBorders>
            <w:vAlign w:val="center"/>
          </w:tcPr>
          <w:p w14:paraId="1132221D">
            <w:pPr>
              <w:numPr>
                <w:ilvl w:val="0"/>
                <w:numId w:val="2"/>
              </w:numPr>
              <w:tabs>
                <w:tab w:val="left" w:pos="360"/>
              </w:tabs>
              <w:spacing w:line="240" w:lineRule="auto"/>
              <w:ind w:left="0" w:firstLine="0"/>
              <w:jc w:val="center"/>
              <w:rPr>
                <w:rFonts w:ascii="宋体"/>
                <w:color w:val="FF0000"/>
                <w:sz w:val="21"/>
                <w:szCs w:val="21"/>
              </w:rPr>
            </w:pPr>
          </w:p>
        </w:tc>
        <w:tc>
          <w:tcPr>
            <w:tcW w:w="1233" w:type="dxa"/>
            <w:vMerge w:val="continue"/>
            <w:tcBorders>
              <w:bottom w:val="single" w:color="auto" w:sz="4" w:space="0"/>
            </w:tcBorders>
            <w:vAlign w:val="center"/>
          </w:tcPr>
          <w:p w14:paraId="559C31BE">
            <w:pPr>
              <w:numPr>
                <w:ilvl w:val="0"/>
                <w:numId w:val="2"/>
              </w:numPr>
              <w:tabs>
                <w:tab w:val="left" w:pos="360"/>
              </w:tabs>
              <w:spacing w:line="240" w:lineRule="auto"/>
              <w:ind w:left="0" w:firstLine="0"/>
              <w:jc w:val="center"/>
              <w:rPr>
                <w:rFonts w:ascii="宋体"/>
                <w:color w:val="FF0000"/>
                <w:sz w:val="21"/>
                <w:szCs w:val="21"/>
              </w:rPr>
            </w:pPr>
          </w:p>
        </w:tc>
        <w:tc>
          <w:tcPr>
            <w:tcW w:w="709" w:type="dxa"/>
            <w:vMerge w:val="continue"/>
            <w:vAlign w:val="center"/>
          </w:tcPr>
          <w:p w14:paraId="66499DA7">
            <w:pPr>
              <w:numPr>
                <w:ilvl w:val="0"/>
                <w:numId w:val="0"/>
              </w:numPr>
              <w:tabs>
                <w:tab w:val="left" w:pos="360"/>
              </w:tabs>
              <w:spacing w:line="240" w:lineRule="auto"/>
              <w:ind w:left="0" w:firstLine="0"/>
              <w:jc w:val="center"/>
              <w:rPr>
                <w:rFonts w:ascii="宋体"/>
                <w:sz w:val="21"/>
                <w:szCs w:val="21"/>
              </w:rPr>
            </w:pPr>
          </w:p>
        </w:tc>
        <w:tc>
          <w:tcPr>
            <w:tcW w:w="1843" w:type="dxa"/>
            <w:vMerge w:val="continue"/>
            <w:vAlign w:val="center"/>
          </w:tcPr>
          <w:p w14:paraId="77E68ECB">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p>
        </w:tc>
        <w:tc>
          <w:tcPr>
            <w:tcW w:w="709" w:type="dxa"/>
            <w:vAlign w:val="center"/>
          </w:tcPr>
          <w:p w14:paraId="7DD91708">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07</w:t>
            </w:r>
          </w:p>
        </w:tc>
        <w:tc>
          <w:tcPr>
            <w:tcW w:w="1842" w:type="dxa"/>
            <w:vAlign w:val="center"/>
          </w:tcPr>
          <w:p w14:paraId="35B42956">
            <w:pPr>
              <w:widowControl/>
              <w:numPr>
                <w:ilvl w:val="0"/>
                <w:numId w:val="0"/>
              </w:numPr>
              <w:tabs>
                <w:tab w:val="left" w:pos="360"/>
              </w:tabs>
              <w:spacing w:line="240" w:lineRule="auto"/>
              <w:ind w:left="0" w:firstLine="0"/>
              <w:jc w:val="center"/>
              <w:textAlignment w:val="center"/>
              <w:rPr>
                <w:rFonts w:ascii="宋体" w:hAnsi="宋体" w:cs="宋体"/>
                <w:kern w:val="0"/>
                <w:sz w:val="21"/>
                <w:szCs w:val="21"/>
              </w:rPr>
            </w:pPr>
            <w:r>
              <w:rPr>
                <w:rFonts w:hint="eastAsia" w:ascii="宋体" w:hAnsi="宋体" w:cs="宋体"/>
                <w:kern w:val="0"/>
                <w:sz w:val="21"/>
                <w:szCs w:val="21"/>
              </w:rPr>
              <w:t>电缆防火与阻燃</w:t>
            </w:r>
          </w:p>
        </w:tc>
        <w:tc>
          <w:tcPr>
            <w:tcW w:w="7130" w:type="dxa"/>
            <w:vAlign w:val="center"/>
          </w:tcPr>
          <w:p w14:paraId="1E4D88BB">
            <w:pPr>
              <w:widowControl/>
              <w:numPr>
                <w:ilvl w:val="0"/>
                <w:numId w:val="0"/>
              </w:numPr>
              <w:tabs>
                <w:tab w:val="left" w:pos="360"/>
              </w:tabs>
              <w:spacing w:line="240" w:lineRule="auto"/>
              <w:ind w:left="0" w:firstLine="0"/>
              <w:jc w:val="left"/>
              <w:textAlignment w:val="center"/>
              <w:rPr>
                <w:rFonts w:ascii="宋体" w:hAnsi="宋体" w:cs="宋体"/>
                <w:kern w:val="0"/>
                <w:sz w:val="21"/>
                <w:szCs w:val="21"/>
              </w:rPr>
            </w:pPr>
            <w:r>
              <w:rPr>
                <w:rFonts w:hint="eastAsia" w:ascii="宋体" w:hAnsi="宋体" w:cs="宋体"/>
                <w:kern w:val="0"/>
                <w:sz w:val="21"/>
                <w:szCs w:val="21"/>
              </w:rPr>
              <w:t>电缆防火与阻燃</w:t>
            </w:r>
          </w:p>
        </w:tc>
      </w:tr>
    </w:tbl>
    <w:p w14:paraId="73AE7F96"/>
    <w:p w14:paraId="46C88B5D">
      <w:pPr>
        <w:rPr>
          <w:rFonts w:hint="default"/>
          <w:sz w:val="28"/>
          <w:szCs w:val="28"/>
          <w:lang w:val="en-US" w:eastAsia="zh-CN"/>
        </w:rPr>
        <w:sectPr>
          <w:pgSz w:w="16840" w:h="11907" w:orient="landscape"/>
          <w:pgMar w:top="1134" w:right="1531" w:bottom="1134" w:left="1531" w:header="851" w:footer="992" w:gutter="0"/>
          <w:pgNumType w:fmt="decimal"/>
          <w:cols w:space="425" w:num="1"/>
          <w:docGrid w:type="lines" w:linePitch="312" w:charSpace="0"/>
        </w:sectPr>
      </w:pPr>
    </w:p>
    <w:p w14:paraId="1D287576">
      <w:pPr>
        <w:pStyle w:val="26"/>
        <w:keepNext w:val="0"/>
        <w:keepLines w:val="0"/>
        <w:pageBreakBefore w:val="0"/>
        <w:widowControl w:val="0"/>
        <w:kinsoku/>
        <w:wordWrap/>
        <w:overflowPunct/>
        <w:topLinePunct w:val="0"/>
        <w:autoSpaceDE w:val="0"/>
        <w:autoSpaceDN w:val="0"/>
        <w:bidi w:val="0"/>
        <w:adjustRightInd w:val="0"/>
        <w:snapToGrid w:val="0"/>
        <w:spacing w:before="164" w:beforeLines="50" w:line="360" w:lineRule="auto"/>
        <w:textAlignment w:val="auto"/>
        <w:outlineLvl w:val="0"/>
        <w:rPr>
          <w:rFonts w:hint="eastAsia"/>
          <w:lang w:val="en-US" w:eastAsia="zh-CN"/>
        </w:rPr>
      </w:pPr>
      <w:bookmarkStart w:id="120" w:name="_Toc29830"/>
      <w:bookmarkStart w:id="121" w:name="_Toc14430"/>
      <w:bookmarkStart w:id="122" w:name="_Toc12733"/>
      <w:r>
        <w:rPr>
          <w:rFonts w:hint="eastAsia"/>
          <w:lang w:val="en-US" w:eastAsia="zh-CN"/>
        </w:rPr>
        <w:t>本规程用词说明</w:t>
      </w:r>
      <w:bookmarkEnd w:id="120"/>
      <w:bookmarkEnd w:id="121"/>
      <w:bookmarkEnd w:id="122"/>
    </w:p>
    <w:p w14:paraId="4204EA65">
      <w:pPr>
        <w:pStyle w:val="20"/>
        <w:keepNext w:val="0"/>
        <w:keepLines w:val="0"/>
        <w:pageBreakBefore w:val="0"/>
        <w:widowControl w:val="0"/>
        <w:kinsoku/>
        <w:wordWrap/>
        <w:overflowPunct/>
        <w:topLinePunct w:val="0"/>
        <w:autoSpaceDE w:val="0"/>
        <w:autoSpaceDN w:val="0"/>
        <w:bidi w:val="0"/>
        <w:adjustRightInd w:val="0"/>
        <w:snapToGrid w:val="0"/>
        <w:spacing w:line="360" w:lineRule="auto"/>
        <w:ind w:firstLine="562" w:firstLineChars="200"/>
        <w:jc w:val="both"/>
        <w:textAlignment w:val="auto"/>
        <w:outlineLvl w:val="9"/>
      </w:pPr>
      <w:r>
        <w:rPr>
          <w:rFonts w:hint="eastAsia"/>
          <w:b/>
          <w:bCs/>
        </w:rPr>
        <w:t>1</w:t>
      </w:r>
      <w:r>
        <w:rPr>
          <w:rFonts w:hint="eastAsia"/>
          <w:lang w:eastAsia="zh-CN"/>
        </w:rPr>
        <w:t>　</w:t>
      </w:r>
      <w:r>
        <w:rPr>
          <w:rFonts w:hint="eastAsia"/>
        </w:rPr>
        <w:t>为便于在执行本规程条文时区别对待，对要求严格程度不同的用词说明如下：</w:t>
      </w:r>
    </w:p>
    <w:p w14:paraId="17726991">
      <w:pPr>
        <w:pStyle w:val="20"/>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984" w:firstLineChars="350"/>
        <w:jc w:val="both"/>
        <w:textAlignment w:val="auto"/>
        <w:outlineLvl w:val="9"/>
      </w:pPr>
      <w:r>
        <w:rPr>
          <w:rFonts w:hint="eastAsia"/>
          <w:b/>
          <w:bCs/>
        </w:rPr>
        <w:t>1）</w:t>
      </w:r>
      <w:r>
        <w:rPr>
          <w:rFonts w:hint="eastAsia"/>
        </w:rPr>
        <w:t>表示很严格，非这样做不可的：</w:t>
      </w:r>
    </w:p>
    <w:p w14:paraId="5D7AF24C">
      <w:pPr>
        <w:pStyle w:val="20"/>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1400" w:firstLineChars="500"/>
        <w:jc w:val="both"/>
        <w:textAlignment w:val="auto"/>
        <w:outlineLvl w:val="9"/>
        <w:rPr>
          <w:rFonts w:hint="eastAsia"/>
        </w:rPr>
      </w:pPr>
      <w:r>
        <w:rPr>
          <w:rFonts w:hint="eastAsia"/>
        </w:rPr>
        <w:t>正面词采用“</w:t>
      </w:r>
      <w:r>
        <w:rPr>
          <w:rFonts w:hint="eastAsia"/>
          <w:lang w:eastAsia="zh-CN"/>
        </w:rPr>
        <w:t>必须</w:t>
      </w:r>
      <w:r>
        <w:rPr>
          <w:rFonts w:hint="eastAsia"/>
        </w:rPr>
        <w:t>”，反面词采用“严禁”；</w:t>
      </w:r>
    </w:p>
    <w:p w14:paraId="7AADA671">
      <w:pPr>
        <w:pStyle w:val="20"/>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984" w:firstLineChars="350"/>
        <w:jc w:val="both"/>
        <w:textAlignment w:val="auto"/>
        <w:outlineLvl w:val="9"/>
        <w:rPr>
          <w:rFonts w:hint="eastAsia"/>
        </w:rPr>
      </w:pPr>
      <w:r>
        <w:rPr>
          <w:rFonts w:hint="eastAsia"/>
          <w:b/>
          <w:bCs/>
        </w:rPr>
        <w:t>2）</w:t>
      </w:r>
      <w:r>
        <w:rPr>
          <w:rFonts w:hint="eastAsia"/>
        </w:rPr>
        <w:t>表示严格，在正常情况下均应这样做的：</w:t>
      </w:r>
    </w:p>
    <w:p w14:paraId="6E618D25">
      <w:pPr>
        <w:pStyle w:val="20"/>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1419" w:firstLineChars="507"/>
        <w:jc w:val="both"/>
        <w:textAlignment w:val="auto"/>
        <w:outlineLvl w:val="9"/>
        <w:rPr>
          <w:rFonts w:hint="eastAsia"/>
        </w:rPr>
      </w:pPr>
      <w:r>
        <w:rPr>
          <w:rFonts w:hint="eastAsia"/>
        </w:rPr>
        <w:t>正面词采用“应”，反面词采用“不应”或“不得”；</w:t>
      </w:r>
    </w:p>
    <w:p w14:paraId="0D95976A">
      <w:pPr>
        <w:pStyle w:val="20"/>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984" w:firstLineChars="350"/>
        <w:jc w:val="both"/>
        <w:textAlignment w:val="auto"/>
        <w:outlineLvl w:val="9"/>
        <w:rPr>
          <w:rFonts w:hint="eastAsia"/>
        </w:rPr>
      </w:pPr>
      <w:r>
        <w:rPr>
          <w:rFonts w:hint="eastAsia"/>
          <w:b/>
          <w:bCs/>
        </w:rPr>
        <w:t>3）</w:t>
      </w:r>
      <w:r>
        <w:rPr>
          <w:rFonts w:hint="eastAsia"/>
        </w:rPr>
        <w:t>表述允许稍有选择，在条件许可时首先应这样做的：</w:t>
      </w:r>
    </w:p>
    <w:p w14:paraId="5250125C">
      <w:pPr>
        <w:pStyle w:val="20"/>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1400" w:firstLineChars="500"/>
        <w:jc w:val="both"/>
        <w:textAlignment w:val="auto"/>
        <w:outlineLvl w:val="9"/>
        <w:rPr>
          <w:rFonts w:hint="eastAsia"/>
        </w:rPr>
      </w:pPr>
      <w:r>
        <w:rPr>
          <w:rFonts w:hint="eastAsia"/>
        </w:rPr>
        <w:t>正面词采用“宜”，反面词采用“不宜”；</w:t>
      </w:r>
    </w:p>
    <w:p w14:paraId="289BB175">
      <w:pPr>
        <w:pStyle w:val="20"/>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984" w:firstLineChars="350"/>
        <w:jc w:val="both"/>
        <w:textAlignment w:val="auto"/>
        <w:outlineLvl w:val="9"/>
        <w:rPr>
          <w:rFonts w:hint="eastAsia"/>
        </w:rPr>
      </w:pPr>
      <w:r>
        <w:rPr>
          <w:rFonts w:hint="eastAsia"/>
          <w:b/>
          <w:bCs/>
        </w:rPr>
        <w:t>4）</w:t>
      </w:r>
      <w:r>
        <w:rPr>
          <w:rFonts w:hint="eastAsia"/>
        </w:rPr>
        <w:t>表示有选择，在一定条件下可以这样做的，采用“可”。</w:t>
      </w:r>
    </w:p>
    <w:p w14:paraId="6A72F932">
      <w:pPr>
        <w:pStyle w:val="20"/>
        <w:keepNext w:val="0"/>
        <w:keepLines w:val="0"/>
        <w:pageBreakBefore w:val="0"/>
        <w:widowControl w:val="0"/>
        <w:kinsoku/>
        <w:wordWrap/>
        <w:overflowPunct/>
        <w:topLinePunct w:val="0"/>
        <w:autoSpaceDE w:val="0"/>
        <w:autoSpaceDN w:val="0"/>
        <w:bidi w:val="0"/>
        <w:adjustRightInd w:val="0"/>
        <w:snapToGrid w:val="0"/>
        <w:spacing w:line="360" w:lineRule="auto"/>
        <w:ind w:firstLine="562" w:firstLineChars="200"/>
        <w:jc w:val="both"/>
        <w:textAlignment w:val="auto"/>
        <w:outlineLvl w:val="9"/>
      </w:pPr>
      <w:r>
        <w:rPr>
          <w:rFonts w:hint="eastAsia"/>
          <w:b/>
          <w:bCs/>
        </w:rPr>
        <w:t>2</w:t>
      </w:r>
      <w:r>
        <w:rPr>
          <w:rFonts w:hint="eastAsia"/>
          <w:lang w:eastAsia="zh-CN"/>
        </w:rPr>
        <w:t>　</w:t>
      </w:r>
      <w:r>
        <w:rPr>
          <w:rFonts w:hint="eastAsia"/>
        </w:rPr>
        <w:t>条文中指明应按其他有关标准执行的写法为：“应符合……的规定”或“应按……执行”。</w:t>
      </w:r>
    </w:p>
    <w:p w14:paraId="383A5D3F">
      <w:pPr>
        <w:jc w:val="center"/>
        <w:rPr>
          <w:rFonts w:hint="eastAsia"/>
          <w:b w:val="0"/>
          <w:bCs w:val="0"/>
          <w:color w:val="auto"/>
          <w:sz w:val="32"/>
          <w:szCs w:val="32"/>
          <w:highlight w:val="none"/>
          <w:lang w:val="en-US" w:eastAsia="zh-CN"/>
        </w:rPr>
      </w:pPr>
    </w:p>
    <w:p w14:paraId="64515C03">
      <w:pPr>
        <w:jc w:val="center"/>
        <w:rPr>
          <w:rFonts w:hint="eastAsia" w:ascii="Times New Roman" w:hAnsi="Times New Roman" w:eastAsia="宋体" w:cs="Times New Roman"/>
          <w:snapToGrid w:val="0"/>
          <w:color w:val="auto"/>
          <w:sz w:val="44"/>
          <w:szCs w:val="28"/>
          <w:lang w:val="en-US" w:eastAsia="zh-CN" w:bidi="ar-SA"/>
        </w:rPr>
      </w:pPr>
    </w:p>
    <w:p w14:paraId="41CC2CD5">
      <w:pPr>
        <w:jc w:val="center"/>
        <w:rPr>
          <w:rFonts w:hint="eastAsia" w:ascii="Times New Roman" w:hAnsi="Times New Roman" w:eastAsia="宋体" w:cs="Times New Roman"/>
          <w:snapToGrid w:val="0"/>
          <w:color w:val="auto"/>
          <w:sz w:val="44"/>
          <w:szCs w:val="28"/>
          <w:lang w:val="en-US" w:eastAsia="zh-CN" w:bidi="ar-SA"/>
        </w:rPr>
      </w:pPr>
    </w:p>
    <w:p w14:paraId="09CFDF15">
      <w:pPr>
        <w:jc w:val="center"/>
        <w:rPr>
          <w:rFonts w:hint="eastAsia" w:ascii="Times New Roman" w:hAnsi="Times New Roman" w:eastAsia="宋体" w:cs="Times New Roman"/>
          <w:snapToGrid w:val="0"/>
          <w:color w:val="auto"/>
          <w:sz w:val="44"/>
          <w:szCs w:val="28"/>
          <w:lang w:val="en-US" w:eastAsia="zh-CN" w:bidi="ar-SA"/>
        </w:rPr>
      </w:pPr>
    </w:p>
    <w:p w14:paraId="78230CE7">
      <w:pPr>
        <w:jc w:val="center"/>
        <w:rPr>
          <w:rFonts w:hint="eastAsia" w:ascii="Times New Roman" w:hAnsi="Times New Roman" w:eastAsia="宋体" w:cs="Times New Roman"/>
          <w:snapToGrid w:val="0"/>
          <w:color w:val="auto"/>
          <w:sz w:val="44"/>
          <w:szCs w:val="28"/>
          <w:lang w:val="en-US" w:eastAsia="zh-CN" w:bidi="ar-SA"/>
        </w:rPr>
      </w:pPr>
    </w:p>
    <w:p w14:paraId="0F927ECF">
      <w:pPr>
        <w:jc w:val="center"/>
        <w:rPr>
          <w:rFonts w:hint="eastAsia" w:ascii="Times New Roman" w:hAnsi="Times New Roman" w:eastAsia="宋体" w:cs="Times New Roman"/>
          <w:snapToGrid w:val="0"/>
          <w:color w:val="auto"/>
          <w:sz w:val="44"/>
          <w:szCs w:val="28"/>
          <w:lang w:val="en-US" w:eastAsia="zh-CN" w:bidi="ar-SA"/>
        </w:rPr>
      </w:pPr>
    </w:p>
    <w:p w14:paraId="0B19B029">
      <w:pPr>
        <w:jc w:val="center"/>
        <w:rPr>
          <w:rFonts w:hint="eastAsia" w:ascii="Times New Roman" w:hAnsi="Times New Roman" w:eastAsia="宋体" w:cs="Times New Roman"/>
          <w:snapToGrid w:val="0"/>
          <w:color w:val="auto"/>
          <w:sz w:val="44"/>
          <w:szCs w:val="28"/>
          <w:lang w:val="en-US" w:eastAsia="zh-CN" w:bidi="ar-SA"/>
        </w:rPr>
      </w:pPr>
    </w:p>
    <w:p w14:paraId="5B26C1ED">
      <w:pPr>
        <w:jc w:val="center"/>
        <w:rPr>
          <w:rFonts w:hint="eastAsia" w:ascii="Times New Roman" w:hAnsi="Times New Roman" w:eastAsia="宋体" w:cs="Times New Roman"/>
          <w:snapToGrid w:val="0"/>
          <w:color w:val="auto"/>
          <w:sz w:val="44"/>
          <w:szCs w:val="28"/>
          <w:lang w:val="en-US" w:eastAsia="zh-CN" w:bidi="ar-SA"/>
        </w:rPr>
      </w:pPr>
    </w:p>
    <w:p w14:paraId="2436738B">
      <w:pPr>
        <w:pStyle w:val="26"/>
        <w:keepNext w:val="0"/>
        <w:keepLines w:val="0"/>
        <w:pageBreakBefore w:val="0"/>
        <w:widowControl w:val="0"/>
        <w:kinsoku/>
        <w:wordWrap/>
        <w:overflowPunct/>
        <w:topLinePunct w:val="0"/>
        <w:autoSpaceDE w:val="0"/>
        <w:autoSpaceDN w:val="0"/>
        <w:bidi w:val="0"/>
        <w:adjustRightInd w:val="0"/>
        <w:snapToGrid w:val="0"/>
        <w:spacing w:before="164" w:beforeLines="50" w:line="360" w:lineRule="auto"/>
        <w:textAlignment w:val="auto"/>
        <w:outlineLvl w:val="9"/>
        <w:rPr>
          <w:rFonts w:hint="eastAsia"/>
          <w:lang w:val="en-US" w:eastAsia="zh-CN"/>
        </w:rPr>
      </w:pPr>
      <w:bookmarkStart w:id="123" w:name="_Toc28656"/>
      <w:bookmarkStart w:id="124" w:name="_Toc7838"/>
      <w:bookmarkStart w:id="125" w:name="_Toc2284"/>
      <w:bookmarkStart w:id="126" w:name="_Toc22528"/>
      <w:bookmarkStart w:id="127" w:name="_Toc17509"/>
      <w:bookmarkStart w:id="128" w:name="_Toc19274"/>
      <w:bookmarkStart w:id="129" w:name="_Toc32057"/>
      <w:bookmarkStart w:id="130" w:name="_Toc16683"/>
      <w:bookmarkStart w:id="131" w:name="_Toc15833"/>
      <w:bookmarkStart w:id="132" w:name="_Toc6540"/>
      <w:bookmarkStart w:id="133" w:name="_Toc27295"/>
      <w:bookmarkStart w:id="134" w:name="_Toc30516"/>
      <w:bookmarkStart w:id="135" w:name="_Toc8864"/>
      <w:bookmarkStart w:id="136" w:name="_Toc9429"/>
      <w:bookmarkStart w:id="137" w:name="_Toc6985"/>
      <w:bookmarkStart w:id="138" w:name="_Toc2445"/>
      <w:bookmarkStart w:id="139" w:name="_Toc1399"/>
      <w:bookmarkStart w:id="140" w:name="_Toc25905"/>
      <w:bookmarkStart w:id="141" w:name="_Toc10824"/>
      <w:bookmarkStart w:id="142" w:name="_Toc32181"/>
      <w:bookmarkStart w:id="143" w:name="_Toc12045"/>
    </w:p>
    <w:p w14:paraId="1E85501D">
      <w:pPr>
        <w:pStyle w:val="26"/>
        <w:keepNext w:val="0"/>
        <w:keepLines w:val="0"/>
        <w:pageBreakBefore w:val="0"/>
        <w:widowControl w:val="0"/>
        <w:kinsoku/>
        <w:wordWrap/>
        <w:overflowPunct/>
        <w:topLinePunct w:val="0"/>
        <w:autoSpaceDE w:val="0"/>
        <w:autoSpaceDN w:val="0"/>
        <w:bidi w:val="0"/>
        <w:adjustRightInd w:val="0"/>
        <w:snapToGrid w:val="0"/>
        <w:spacing w:before="164" w:beforeLines="50" w:line="360" w:lineRule="auto"/>
        <w:textAlignment w:val="auto"/>
        <w:outlineLvl w:val="0"/>
        <w:rPr>
          <w:rFonts w:hint="eastAsia"/>
          <w:lang w:val="en-US" w:eastAsia="zh-CN"/>
        </w:rPr>
      </w:pPr>
      <w:bookmarkStart w:id="144" w:name="_Toc20101"/>
      <w:r>
        <w:rPr>
          <w:rFonts w:hint="eastAsia"/>
          <w:lang w:val="en-US" w:eastAsia="zh-CN"/>
        </w:rPr>
        <w:t>引用标准名录</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55CEA2C7">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《安全标志及其使用导则》GB 2894</w:t>
      </w:r>
    </w:p>
    <w:p w14:paraId="5F97AB31">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《混凝土外加剂》GB 8076</w:t>
      </w:r>
    </w:p>
    <w:p w14:paraId="22DC48CE">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《建筑地基基础设计规范》GB 50007</w:t>
      </w:r>
    </w:p>
    <w:p w14:paraId="6D6DB8B2">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《冷弯薄壁型钢结构术规范》GB 50018</w:t>
      </w:r>
    </w:p>
    <w:p w14:paraId="6B00DF91">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《电气装置安装工程 电力变压器、油浸电抗器、互感器施工及验收规范》GB 50148</w:t>
      </w:r>
    </w:p>
    <w:p w14:paraId="65BC098A">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《电气装置安装工程  电气设备交接试验标准》GB 50150</w:t>
      </w:r>
    </w:p>
    <w:p w14:paraId="1F844922">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《火灾自动报警系统施工及验收标准》GB 50166</w:t>
      </w:r>
    </w:p>
    <w:p w14:paraId="23153DE0">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《电气装置安装工程电缆线路施工及验收规范》GB 50168</w:t>
      </w:r>
    </w:p>
    <w:p w14:paraId="08A11A4C">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《电气装置安装工程 接地装置施工及验收规范》GB 50169</w:t>
      </w:r>
    </w:p>
    <w:p w14:paraId="031A8BA4">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《电气装置安装工程66kV及以下架空电力线路施工及验收规范》GB 50173</w:t>
      </w:r>
    </w:p>
    <w:p w14:paraId="39223E07">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《建筑地基基础工程施工质量验收规范》GB 50202</w:t>
      </w:r>
    </w:p>
    <w:p w14:paraId="55767FD5">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《钢结构工程施工及验收规范》GB 50205</w:t>
      </w:r>
    </w:p>
    <w:p w14:paraId="49FDC1A1">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《光伏发电站施工规范》GB 50794</w:t>
      </w:r>
    </w:p>
    <w:p w14:paraId="1A3402DD">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《光伏发电站设计标准》GB 50797</w:t>
      </w:r>
    </w:p>
    <w:p w14:paraId="1A976B09">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《建筑与市政地基基础通用规范》GB 55003</w:t>
      </w:r>
    </w:p>
    <w:p w14:paraId="1A990FB9">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《混凝土结构通用规范》GB 55008</w:t>
      </w:r>
    </w:p>
    <w:p w14:paraId="28DA7A23">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《工程测量通用规范》GB 55018</w:t>
      </w:r>
    </w:p>
    <w:p w14:paraId="121F9B7F">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《建筑与市政工程施工质量控制通用规范》GB 55032</w:t>
      </w:r>
    </w:p>
    <w:p w14:paraId="2689B970">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《建筑防火通用规范》GB 55037</w:t>
      </w:r>
    </w:p>
    <w:p w14:paraId="5F40ECC9">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《职业健康安全管理体系要求》GB/T 45001</w:t>
      </w:r>
    </w:p>
    <w:p w14:paraId="0DE3AF09">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《企业安全生产标准化基本规范》AQ/T 9006</w:t>
      </w:r>
    </w:p>
    <w:p w14:paraId="18673E06">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《电力设备典型消防规程》DL 5027</w:t>
      </w:r>
    </w:p>
    <w:p w14:paraId="178B4B85">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《电气装置安装工程质量检验及评定规程 第1部分：通则》DL/T 5161.1</w:t>
      </w:r>
    </w:p>
    <w:p w14:paraId="520D2800">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《电力建设施工质量验收规程 第6部分：调整试验》DL/T 5161.6</w:t>
      </w:r>
    </w:p>
    <w:p w14:paraId="6EDBEADE">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《110kV 及以上架空输电线路施工质量检验规程》DL/T 5168</w:t>
      </w:r>
    </w:p>
    <w:p w14:paraId="580C7CEA">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《电力建设施工质量验收规程 第1部分：土建工程》DL/T 5210.1</w:t>
      </w:r>
    </w:p>
    <w:p w14:paraId="1C9AB653">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《电力建设施工质量验收规程 第5部分：焊接》DL/T 5210.5</w:t>
      </w:r>
    </w:p>
    <w:p w14:paraId="2F4AC2BB">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《电力建设施工质量验收规程 第6部分：调整试验》DL/T 5210.6</w:t>
      </w:r>
    </w:p>
    <w:p w14:paraId="46A8C68A">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《电气装置安装工程质量检验及评定规程 第5部分：电缆线路施工质量检验》DL/T 5161.5</w:t>
      </w:r>
    </w:p>
    <w:p w14:paraId="331CBD99">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《电气装置安装工程质量检验及评定规程 第8部分：盘、柜及二次回路接线施工质量检验》DL/T 5161.8</w:t>
      </w:r>
    </w:p>
    <w:p w14:paraId="4FB87D4B">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《建筑桩基技术规范》JGJ 94</w:t>
      </w:r>
    </w:p>
    <w:p w14:paraId="6A1E3058">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《建筑桩基检测技术规范》JGJ 106</w:t>
      </w:r>
    </w:p>
    <w:p w14:paraId="477713CE">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《建筑基坑支护技术规程》JGJ 120</w:t>
      </w:r>
    </w:p>
    <w:p w14:paraId="4C76A6E5">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《公路工程质量检验评定标准 第一册 土建工程》JTG F80/1</w:t>
      </w:r>
    </w:p>
    <w:p w14:paraId="1CB07842">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《光伏发电工程组件及支架安装质量评定标准》NB/T 10320</w:t>
      </w:r>
    </w:p>
    <w:p w14:paraId="25BB078F">
      <w:pPr>
        <w:pStyle w:val="20"/>
        <w:keepNext w:val="0"/>
        <w:keepLines w:val="0"/>
        <w:pageBreakBefore w:val="0"/>
        <w:widowControl w:val="0"/>
        <w:numPr>
          <w:ilvl w:val="0"/>
          <w:numId w:val="3"/>
        </w:numPr>
        <w:kinsoku/>
        <w:wordWrap/>
        <w:overflowPunct/>
        <w:topLinePunct w:val="0"/>
        <w:autoSpaceDE/>
        <w:autoSpaceDN/>
        <w:bidi w:val="0"/>
        <w:adjustRightInd w:val="0"/>
        <w:snapToGrid w:val="0"/>
        <w:spacing w:line="348" w:lineRule="auto"/>
        <w:ind w:left="425" w:leftChars="0" w:hanging="425" w:firstLineChars="0"/>
        <w:jc w:val="both"/>
        <w:textAlignment w:val="auto"/>
        <w:outlineLvl w:val="9"/>
        <w:rPr>
          <w:rFonts w:hint="eastAsia"/>
          <w:b w:val="0"/>
          <w:bCs w:val="0"/>
          <w:lang w:val="en-US" w:eastAsia="zh-CN"/>
        </w:rPr>
      </w:pPr>
      <w:r>
        <w:rPr>
          <w:rFonts w:hint="eastAsia"/>
          <w:b w:val="0"/>
          <w:bCs w:val="0"/>
          <w:lang w:val="en-US" w:eastAsia="zh-CN"/>
        </w:rPr>
        <w:t>《光伏发电站土建施工单元工程质量评定标准》NB/T 32047</w:t>
      </w:r>
    </w:p>
    <w:p w14:paraId="3BD12746">
      <w:pPr>
        <w:pStyle w:val="20"/>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lang w:val="en-US" w:eastAsia="zh-CN"/>
        </w:rPr>
      </w:pPr>
    </w:p>
    <w:p w14:paraId="1D3D0ACB">
      <w:pPr>
        <w:pStyle w:val="20"/>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lang w:val="en-US" w:eastAsia="zh-CN"/>
        </w:rPr>
      </w:pPr>
    </w:p>
    <w:p w14:paraId="50545AC1">
      <w:pPr>
        <w:pStyle w:val="20"/>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lang w:val="en-US" w:eastAsia="zh-CN"/>
        </w:rPr>
      </w:pPr>
    </w:p>
    <w:p w14:paraId="10C7CD93">
      <w:pPr>
        <w:pStyle w:val="20"/>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lang w:val="en-US" w:eastAsia="zh-CN"/>
        </w:rPr>
      </w:pPr>
    </w:p>
    <w:p w14:paraId="7E971598">
      <w:pPr>
        <w:pStyle w:val="20"/>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lang w:val="en-US" w:eastAsia="zh-CN"/>
        </w:rPr>
      </w:pPr>
    </w:p>
    <w:p w14:paraId="08A9C55F">
      <w:pPr>
        <w:pStyle w:val="20"/>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lang w:val="en-US" w:eastAsia="zh-CN"/>
        </w:rPr>
      </w:pPr>
    </w:p>
    <w:p w14:paraId="0F699769">
      <w:pPr>
        <w:pStyle w:val="20"/>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lang w:val="en-US" w:eastAsia="zh-CN"/>
        </w:rPr>
      </w:pPr>
    </w:p>
    <w:p w14:paraId="4FA14C92">
      <w:pPr>
        <w:pStyle w:val="20"/>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lang w:val="en-US" w:eastAsia="zh-CN"/>
        </w:rPr>
      </w:pPr>
    </w:p>
    <w:p w14:paraId="2D3C8B60">
      <w:pPr>
        <w:pStyle w:val="20"/>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lang w:val="en-US" w:eastAsia="zh-CN"/>
        </w:rPr>
      </w:pPr>
    </w:p>
    <w:p w14:paraId="39C7B0A9">
      <w:pPr>
        <w:pStyle w:val="20"/>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lang w:val="en-US" w:eastAsia="zh-CN"/>
        </w:rPr>
      </w:pPr>
    </w:p>
    <w:p w14:paraId="427AC50E">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outlineLvl w:val="9"/>
        <w:rPr>
          <w:rFonts w:hint="eastAsia" w:ascii="仿宋_GB2312" w:hAnsi="仿宋_GB2312" w:eastAsia="仿宋_GB2312" w:cs="仿宋_GB2312"/>
          <w:snapToGrid/>
          <w:color w:val="000000"/>
          <w:kern w:val="0"/>
          <w:sz w:val="32"/>
          <w:szCs w:val="32"/>
          <w:lang w:val="en-US" w:eastAsia="zh-CN" w:bidi="ar-SA"/>
        </w:rPr>
      </w:pPr>
      <w:bookmarkStart w:id="145" w:name="_Toc86"/>
      <w:bookmarkStart w:id="146" w:name="_Toc14497"/>
    </w:p>
    <w:p w14:paraId="55EB260A">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outlineLvl w:val="9"/>
        <w:rPr>
          <w:rFonts w:ascii="宋体" w:hAnsi="宋体" w:eastAsia="黑体" w:cs="宋体"/>
          <w:snapToGrid/>
          <w:color w:val="000000"/>
          <w:kern w:val="0"/>
          <w:sz w:val="32"/>
          <w:szCs w:val="32"/>
          <w:lang w:val="en-US" w:eastAsia="zh-CN" w:bidi="ar-SA"/>
        </w:rPr>
      </w:pPr>
      <w:r>
        <w:rPr>
          <w:rFonts w:hint="eastAsia" w:ascii="仿宋_GB2312" w:hAnsi="仿宋_GB2312" w:eastAsia="仿宋_GB2312" w:cs="仿宋_GB2312"/>
          <w:snapToGrid/>
          <w:color w:val="000000"/>
          <w:kern w:val="0"/>
          <w:sz w:val="32"/>
          <w:szCs w:val="32"/>
          <w:lang w:val="en-US" w:eastAsia="zh-CN" w:bidi="ar-SA"/>
        </w:rPr>
        <w:t>云南省工程建设标准</w:t>
      </w:r>
      <w:bookmarkEnd w:id="145"/>
      <w:bookmarkEnd w:id="146"/>
    </w:p>
    <w:p w14:paraId="200C7AB7">
      <w:pPr>
        <w:keepNext w:val="0"/>
        <w:keepLines w:val="0"/>
        <w:pageBreakBefore w:val="0"/>
        <w:widowControl w:val="0"/>
        <w:kinsoku/>
        <w:wordWrap/>
        <w:overflowPunct/>
        <w:topLinePunct w:val="0"/>
        <w:autoSpaceDE/>
        <w:autoSpaceDN/>
        <w:bidi w:val="0"/>
        <w:adjustRightInd/>
        <w:snapToGrid/>
        <w:spacing w:line="450" w:lineRule="exact"/>
        <w:jc w:val="center"/>
        <w:textAlignment w:val="auto"/>
        <w:outlineLvl w:val="9"/>
        <w:rPr>
          <w:rFonts w:ascii="宋体" w:hAnsi="宋体" w:eastAsia="华文中宋" w:cs="宋体"/>
          <w:b/>
          <w:snapToGrid/>
          <w:color w:val="000000"/>
          <w:kern w:val="0"/>
          <w:sz w:val="32"/>
          <w:szCs w:val="32"/>
          <w:lang w:val="en-US" w:eastAsia="zh-CN" w:bidi="ar-SA"/>
        </w:rPr>
      </w:pPr>
    </w:p>
    <w:p w14:paraId="587367E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napToGrid w:val="0"/>
          <w:color w:val="000000"/>
          <w:kern w:val="0"/>
          <w:sz w:val="32"/>
          <w:szCs w:val="32"/>
          <w:lang w:val="en-US" w:eastAsia="zh-CN" w:bidi="ar-SA"/>
        </w:rPr>
      </w:pPr>
      <w:r>
        <w:rPr>
          <w:rFonts w:hint="eastAsia" w:ascii="仿宋_GB2312" w:hAnsi="仿宋_GB2312" w:eastAsia="仿宋_GB2312" w:cs="仿宋_GB2312"/>
          <w:snapToGrid w:val="0"/>
          <w:color w:val="000000"/>
          <w:kern w:val="0"/>
          <w:sz w:val="32"/>
          <w:szCs w:val="32"/>
          <w:lang w:val="en-US" w:eastAsia="zh-CN" w:bidi="ar-SA"/>
        </w:rPr>
        <w:t>云南省山地光伏电站施工质量及验收技术规程</w:t>
      </w:r>
    </w:p>
    <w:p w14:paraId="2696F16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9"/>
        <w:rPr>
          <w:rFonts w:hint="eastAsia" w:ascii="仿宋_GB2312" w:hAnsi="仿宋_GB2312" w:eastAsia="仿宋_GB2312" w:cs="仿宋_GB2312"/>
          <w:snapToGrid w:val="0"/>
          <w:color w:val="000000"/>
          <w:kern w:val="0"/>
          <w:sz w:val="32"/>
          <w:szCs w:val="32"/>
          <w:lang w:val="en-US" w:eastAsia="zh-CN" w:bidi="ar-SA"/>
        </w:rPr>
      </w:pPr>
      <w:r>
        <w:rPr>
          <w:rFonts w:hint="eastAsia" w:ascii="仿宋_GB2312" w:hAnsi="仿宋_GB2312" w:eastAsia="仿宋_GB2312" w:cs="仿宋_GB2312"/>
          <w:snapToGrid w:val="0"/>
          <w:color w:val="000000"/>
          <w:kern w:val="0"/>
          <w:sz w:val="32"/>
          <w:szCs w:val="32"/>
          <w:lang w:val="en-US" w:eastAsia="zh-CN" w:bidi="ar-SA"/>
        </w:rPr>
        <w:t>DBJ 53/T-XXX-202X</w:t>
      </w:r>
    </w:p>
    <w:p w14:paraId="292B736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仿宋_GB2312" w:hAnsi="仿宋_GB2312" w:eastAsia="仿宋_GB2312" w:cs="仿宋_GB2312"/>
          <w:snapToGrid/>
          <w:color w:val="000000"/>
          <w:kern w:val="0"/>
          <w:sz w:val="32"/>
          <w:szCs w:val="32"/>
          <w:lang w:val="en-US" w:eastAsia="zh-CN" w:bidi="ar-SA"/>
        </w:rPr>
      </w:pPr>
      <w:bookmarkStart w:id="147" w:name="_Toc28853"/>
      <w:bookmarkStart w:id="148" w:name="_Toc31973"/>
      <w:bookmarkStart w:id="149" w:name="_Toc3194"/>
      <w:bookmarkStart w:id="150" w:name="_Toc31299"/>
      <w:bookmarkStart w:id="151" w:name="_Toc19730"/>
      <w:bookmarkStart w:id="152" w:name="_Toc2198"/>
      <w:bookmarkStart w:id="153" w:name="_Toc31930"/>
      <w:bookmarkStart w:id="154" w:name="_Toc30815"/>
      <w:bookmarkStart w:id="155" w:name="_Toc28695"/>
      <w:bookmarkStart w:id="156" w:name="_Toc32207"/>
      <w:bookmarkStart w:id="157" w:name="_Toc15864"/>
      <w:bookmarkStart w:id="158" w:name="_Toc13172"/>
      <w:bookmarkStart w:id="159" w:name="_Toc13925"/>
      <w:bookmarkStart w:id="160" w:name="_Toc8365"/>
      <w:bookmarkStart w:id="161" w:name="_Toc16952"/>
      <w:bookmarkStart w:id="162" w:name="_Toc29880"/>
      <w:bookmarkStart w:id="163" w:name="_Toc9352"/>
      <w:bookmarkStart w:id="164" w:name="_Toc28020"/>
      <w:bookmarkStart w:id="165" w:name="_Toc11512"/>
      <w:bookmarkStart w:id="166" w:name="_Toc19103"/>
      <w:bookmarkStart w:id="167" w:name="_Toc15667"/>
      <w:bookmarkStart w:id="168" w:name="_Toc15269"/>
      <w:bookmarkStart w:id="169" w:name="_Toc14126"/>
      <w:bookmarkStart w:id="170" w:name="_Toc2955"/>
      <w:r>
        <w:rPr>
          <w:rFonts w:hint="eastAsia" w:ascii="仿宋_GB2312" w:hAnsi="仿宋_GB2312" w:eastAsia="仿宋_GB2312" w:cs="仿宋_GB2312"/>
          <w:snapToGrid/>
          <w:color w:val="000000"/>
          <w:kern w:val="0"/>
          <w:sz w:val="32"/>
          <w:szCs w:val="32"/>
          <w:lang w:val="en-US" w:eastAsia="zh-CN" w:bidi="ar-SA"/>
        </w:rPr>
        <w:t>条文说明</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20D88169">
      <w:pPr>
        <w:rPr>
          <w:rFonts w:hint="default"/>
          <w:sz w:val="28"/>
          <w:szCs w:val="28"/>
          <w:lang w:val="en-US" w:eastAsia="zh-CN"/>
        </w:rPr>
      </w:pPr>
    </w:p>
    <w:p w14:paraId="428F96D1">
      <w:pPr>
        <w:pStyle w:val="6"/>
        <w:rPr>
          <w:rFonts w:hint="default"/>
          <w:sz w:val="28"/>
          <w:szCs w:val="28"/>
          <w:lang w:val="en-US" w:eastAsia="zh-CN"/>
        </w:rPr>
      </w:pPr>
    </w:p>
    <w:p w14:paraId="36F5E660">
      <w:pPr>
        <w:pStyle w:val="6"/>
        <w:rPr>
          <w:rFonts w:hint="default"/>
          <w:sz w:val="28"/>
          <w:szCs w:val="28"/>
          <w:lang w:val="en-US" w:eastAsia="zh-CN"/>
        </w:rPr>
      </w:pPr>
    </w:p>
    <w:p w14:paraId="2A17698B">
      <w:pPr>
        <w:pStyle w:val="6"/>
        <w:rPr>
          <w:rFonts w:hint="default"/>
          <w:sz w:val="28"/>
          <w:szCs w:val="28"/>
          <w:lang w:val="en-US" w:eastAsia="zh-CN"/>
        </w:rPr>
      </w:pPr>
    </w:p>
    <w:p w14:paraId="5E148DA0">
      <w:pPr>
        <w:pStyle w:val="6"/>
        <w:rPr>
          <w:rFonts w:hint="default"/>
          <w:sz w:val="28"/>
          <w:szCs w:val="28"/>
          <w:lang w:val="en-US" w:eastAsia="zh-CN"/>
        </w:rPr>
      </w:pPr>
    </w:p>
    <w:p w14:paraId="7FAAAD8D">
      <w:pPr>
        <w:pStyle w:val="6"/>
        <w:rPr>
          <w:rFonts w:hint="default"/>
          <w:sz w:val="28"/>
          <w:szCs w:val="28"/>
          <w:lang w:val="en-US" w:eastAsia="zh-CN"/>
        </w:rPr>
      </w:pPr>
    </w:p>
    <w:p w14:paraId="07A966BF">
      <w:pPr>
        <w:pStyle w:val="6"/>
        <w:rPr>
          <w:rFonts w:hint="default"/>
          <w:sz w:val="28"/>
          <w:szCs w:val="28"/>
          <w:lang w:val="en-US" w:eastAsia="zh-CN"/>
        </w:rPr>
      </w:pPr>
    </w:p>
    <w:p w14:paraId="0B625592">
      <w:pPr>
        <w:pStyle w:val="6"/>
        <w:rPr>
          <w:rFonts w:hint="default"/>
          <w:sz w:val="28"/>
          <w:szCs w:val="28"/>
          <w:lang w:val="en-US" w:eastAsia="zh-CN"/>
        </w:rPr>
      </w:pPr>
    </w:p>
    <w:p w14:paraId="6CDDA122">
      <w:pPr>
        <w:pStyle w:val="6"/>
        <w:rPr>
          <w:rFonts w:hint="default"/>
          <w:sz w:val="28"/>
          <w:szCs w:val="28"/>
          <w:lang w:val="en-US" w:eastAsia="zh-CN"/>
        </w:rPr>
      </w:pPr>
    </w:p>
    <w:p w14:paraId="0653D598">
      <w:pPr>
        <w:pStyle w:val="6"/>
        <w:rPr>
          <w:rFonts w:hint="default"/>
          <w:sz w:val="28"/>
          <w:szCs w:val="28"/>
          <w:lang w:val="en-US" w:eastAsia="zh-CN"/>
        </w:rPr>
      </w:pPr>
    </w:p>
    <w:p w14:paraId="09709D5C">
      <w:pPr>
        <w:pStyle w:val="6"/>
        <w:rPr>
          <w:rFonts w:hint="default"/>
          <w:sz w:val="28"/>
          <w:szCs w:val="28"/>
          <w:lang w:val="en-US" w:eastAsia="zh-CN"/>
        </w:rPr>
      </w:pPr>
    </w:p>
    <w:p w14:paraId="45DFAC19">
      <w:pPr>
        <w:pStyle w:val="6"/>
        <w:rPr>
          <w:rFonts w:hint="default"/>
          <w:sz w:val="28"/>
          <w:szCs w:val="28"/>
          <w:lang w:val="en-US" w:eastAsia="zh-CN"/>
        </w:rPr>
      </w:pPr>
    </w:p>
    <w:p w14:paraId="5B844978">
      <w:pPr>
        <w:pStyle w:val="6"/>
        <w:rPr>
          <w:rFonts w:hint="default"/>
          <w:sz w:val="28"/>
          <w:szCs w:val="28"/>
          <w:lang w:val="en-US" w:eastAsia="zh-CN"/>
        </w:rPr>
      </w:pPr>
    </w:p>
    <w:p w14:paraId="3155B87F">
      <w:pPr>
        <w:pStyle w:val="6"/>
        <w:rPr>
          <w:rFonts w:hint="default"/>
          <w:sz w:val="28"/>
          <w:szCs w:val="28"/>
          <w:lang w:val="en-US" w:eastAsia="zh-CN"/>
        </w:rPr>
      </w:pPr>
    </w:p>
    <w:p w14:paraId="3BF527A3">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15023821">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sdt>
      <w:sdtPr>
        <w:rPr>
          <w:rFonts w:ascii="宋体" w:hAnsi="宋体" w:eastAsia="宋体" w:cstheme="minorBidi"/>
          <w:kern w:val="2"/>
          <w:sz w:val="21"/>
          <w:szCs w:val="24"/>
          <w:lang w:val="en-US" w:eastAsia="zh-CN" w:bidi="ar-SA"/>
        </w:rPr>
        <w:id w:val="147482706"/>
        <w15:color w:val="DBDBDB"/>
        <w:docPartObj>
          <w:docPartGallery w:val="Table of Contents"/>
          <w:docPartUnique/>
        </w:docPartObj>
      </w:sdtPr>
      <w:sdtEndPr>
        <w:rPr>
          <w:rFonts w:asciiTheme="minorHAnsi" w:hAnsiTheme="minorHAnsi" w:eastAsiaTheme="minorEastAsia" w:cstheme="minorBidi"/>
          <w:b/>
          <w:kern w:val="2"/>
          <w:sz w:val="21"/>
          <w:szCs w:val="24"/>
          <w:lang w:val="en-US" w:eastAsia="zh-CN" w:bidi="ar-SA"/>
        </w:rPr>
      </w:sdtEndPr>
      <w:sdtContent>
        <w:p w14:paraId="70CE3765">
          <w:pPr>
            <w:spacing w:before="0" w:beforeLines="0" w:after="0" w:afterLines="0" w:line="240" w:lineRule="auto"/>
            <w:ind w:left="0" w:leftChars="0" w:right="0" w:rightChars="0" w:firstLine="0" w:firstLineChars="0"/>
            <w:jc w:val="center"/>
          </w:pPr>
          <w:r>
            <w:rPr>
              <w:rFonts w:ascii="宋体" w:hAnsi="宋体" w:eastAsia="宋体"/>
              <w:sz w:val="44"/>
              <w:szCs w:val="44"/>
            </w:rPr>
            <w:t>目</w:t>
          </w:r>
          <w:r>
            <w:rPr>
              <w:rFonts w:hint="eastAsia" w:ascii="宋体" w:hAnsi="宋体" w:eastAsia="宋体"/>
              <w:sz w:val="44"/>
              <w:szCs w:val="44"/>
              <w:lang w:val="en-US" w:eastAsia="zh-CN"/>
            </w:rPr>
            <w:t xml:space="preserve">  </w:t>
          </w:r>
          <w:r>
            <w:rPr>
              <w:rFonts w:ascii="宋体" w:hAnsi="宋体" w:eastAsia="宋体"/>
              <w:sz w:val="44"/>
              <w:szCs w:val="44"/>
            </w:rPr>
            <w:t>录</w:t>
          </w:r>
        </w:p>
        <w:p w14:paraId="599EF9C5">
          <w:pPr>
            <w:pStyle w:val="9"/>
            <w:tabs>
              <w:tab w:val="right" w:leader="dot" w:pos="8844"/>
            </w:tabs>
          </w:pPr>
          <w:r>
            <w:fldChar w:fldCharType="begin"/>
          </w:r>
          <w:r>
            <w:instrText xml:space="preserve">TOC \o "1-2" \h \u </w:instrText>
          </w:r>
          <w:r>
            <w:fldChar w:fldCharType="separate"/>
          </w:r>
        </w:p>
        <w:p w14:paraId="0D95AA80">
          <w:pPr>
            <w:pStyle w:val="9"/>
            <w:tabs>
              <w:tab w:val="right" w:leader="dot" w:pos="8844"/>
            </w:tabs>
            <w:rPr>
              <w:rFonts w:hint="eastAsia" w:eastAsiaTheme="minorEastAsia"/>
              <w:sz w:val="28"/>
              <w:szCs w:val="28"/>
              <w:lang w:val="en-US" w:eastAsia="zh-CN"/>
            </w:rPr>
          </w:pPr>
          <w:r>
            <w:rPr>
              <w:sz w:val="28"/>
              <w:szCs w:val="28"/>
            </w:rPr>
            <w:fldChar w:fldCharType="begin"/>
          </w:r>
          <w:r>
            <w:rPr>
              <w:sz w:val="28"/>
              <w:szCs w:val="28"/>
            </w:rPr>
            <w:instrText xml:space="preserve"> HYPERLINK \l _Toc10247 </w:instrText>
          </w:r>
          <w:r>
            <w:rPr>
              <w:sz w:val="28"/>
              <w:szCs w:val="28"/>
            </w:rPr>
            <w:fldChar w:fldCharType="separate"/>
          </w:r>
          <w:r>
            <w:rPr>
              <w:rFonts w:hint="eastAsia"/>
              <w:bCs/>
              <w:sz w:val="28"/>
              <w:szCs w:val="28"/>
              <w:lang w:val="en-US" w:eastAsia="zh-CN"/>
            </w:rPr>
            <w:t>5</w:t>
          </w:r>
          <w:r>
            <w:rPr>
              <w:rFonts w:hint="eastAsia"/>
              <w:sz w:val="28"/>
              <w:szCs w:val="28"/>
              <w:lang w:val="en-US" w:eastAsia="zh-CN"/>
            </w:rPr>
            <w:t xml:space="preserve">  安装工程</w:t>
          </w:r>
          <w:r>
            <w:rPr>
              <w:sz w:val="28"/>
              <w:szCs w:val="28"/>
            </w:rPr>
            <w:tab/>
          </w:r>
          <w:r>
            <w:rPr>
              <w:rFonts w:hint="eastAsia"/>
              <w:sz w:val="28"/>
              <w:szCs w:val="28"/>
              <w:lang w:val="en-US" w:eastAsia="zh-CN"/>
            </w:rPr>
            <w:t>4</w:t>
          </w:r>
          <w:r>
            <w:rPr>
              <w:sz w:val="28"/>
              <w:szCs w:val="28"/>
            </w:rPr>
            <w:fldChar w:fldCharType="end"/>
          </w:r>
          <w:r>
            <w:rPr>
              <w:rFonts w:hint="eastAsia"/>
              <w:sz w:val="28"/>
              <w:szCs w:val="28"/>
              <w:lang w:val="en-US" w:eastAsia="zh-CN"/>
            </w:rPr>
            <w:t>6</w:t>
          </w:r>
        </w:p>
        <w:p w14:paraId="6F21B068">
          <w:pPr>
            <w:pStyle w:val="10"/>
            <w:tabs>
              <w:tab w:val="right" w:leader="dot" w:pos="8844"/>
            </w:tabs>
            <w:rPr>
              <w:rFonts w:hint="eastAsia" w:eastAsiaTheme="minorEastAsia"/>
              <w:sz w:val="28"/>
              <w:szCs w:val="28"/>
              <w:lang w:val="en-US" w:eastAsia="zh-CN"/>
            </w:rPr>
          </w:pPr>
          <w:r>
            <w:rPr>
              <w:sz w:val="28"/>
              <w:szCs w:val="28"/>
            </w:rPr>
            <w:fldChar w:fldCharType="begin"/>
          </w:r>
          <w:r>
            <w:rPr>
              <w:sz w:val="28"/>
              <w:szCs w:val="28"/>
            </w:rPr>
            <w:instrText xml:space="preserve"> HYPERLINK \l _Toc4151 </w:instrText>
          </w:r>
          <w:r>
            <w:rPr>
              <w:sz w:val="28"/>
              <w:szCs w:val="28"/>
            </w:rPr>
            <w:fldChar w:fldCharType="separate"/>
          </w:r>
          <w:r>
            <w:rPr>
              <w:rFonts w:hint="default"/>
              <w:bCs/>
              <w:sz w:val="28"/>
              <w:szCs w:val="28"/>
              <w:lang w:val="en-US" w:eastAsia="zh-CN"/>
            </w:rPr>
            <w:t>5.</w:t>
          </w:r>
          <w:r>
            <w:rPr>
              <w:rFonts w:hint="eastAsia"/>
              <w:bCs/>
              <w:sz w:val="28"/>
              <w:szCs w:val="28"/>
              <w:lang w:val="en-US" w:eastAsia="zh-CN"/>
            </w:rPr>
            <w:t xml:space="preserve"> </w:t>
          </w:r>
          <w:r>
            <w:rPr>
              <w:rFonts w:hint="default"/>
              <w:bCs/>
              <w:sz w:val="28"/>
              <w:szCs w:val="28"/>
              <w:lang w:val="en-US" w:eastAsia="zh-CN"/>
            </w:rPr>
            <w:t>2</w:t>
          </w:r>
          <w:r>
            <w:rPr>
              <w:rFonts w:hint="eastAsia"/>
              <w:sz w:val="28"/>
              <w:szCs w:val="28"/>
              <w:lang w:val="en-US" w:eastAsia="zh-CN"/>
            </w:rPr>
            <w:t xml:space="preserve">  </w:t>
          </w:r>
          <w:r>
            <w:rPr>
              <w:rFonts w:hint="default"/>
              <w:sz w:val="28"/>
              <w:szCs w:val="28"/>
              <w:lang w:val="en-US" w:eastAsia="zh-CN"/>
            </w:rPr>
            <w:t>支架安装</w:t>
          </w:r>
          <w:r>
            <w:rPr>
              <w:sz w:val="28"/>
              <w:szCs w:val="28"/>
            </w:rPr>
            <w:tab/>
          </w:r>
          <w:r>
            <w:rPr>
              <w:rFonts w:hint="eastAsia"/>
              <w:sz w:val="28"/>
              <w:szCs w:val="28"/>
              <w:lang w:val="en-US" w:eastAsia="zh-CN"/>
            </w:rPr>
            <w:t>4</w:t>
          </w:r>
          <w:r>
            <w:rPr>
              <w:sz w:val="28"/>
              <w:szCs w:val="28"/>
            </w:rPr>
            <w:fldChar w:fldCharType="end"/>
          </w:r>
          <w:r>
            <w:rPr>
              <w:rFonts w:hint="eastAsia"/>
              <w:sz w:val="28"/>
              <w:szCs w:val="28"/>
              <w:lang w:val="en-US" w:eastAsia="zh-CN"/>
            </w:rPr>
            <w:t>6</w:t>
          </w:r>
        </w:p>
        <w:p w14:paraId="4D624319">
          <w:pPr>
            <w:pStyle w:val="9"/>
            <w:tabs>
              <w:tab w:val="right" w:leader="dot" w:pos="8844"/>
            </w:tabs>
            <w:rPr>
              <w:rFonts w:hint="default" w:eastAsiaTheme="minorEastAsia"/>
              <w:sz w:val="28"/>
              <w:szCs w:val="28"/>
              <w:lang w:val="en-US" w:eastAsia="zh-CN"/>
            </w:rPr>
          </w:pPr>
          <w:r>
            <w:rPr>
              <w:sz w:val="28"/>
              <w:szCs w:val="28"/>
            </w:rPr>
            <w:fldChar w:fldCharType="begin"/>
          </w:r>
          <w:r>
            <w:rPr>
              <w:sz w:val="28"/>
              <w:szCs w:val="28"/>
            </w:rPr>
            <w:instrText xml:space="preserve"> HYPERLINK \l _Toc16044 </w:instrText>
          </w:r>
          <w:r>
            <w:rPr>
              <w:sz w:val="28"/>
              <w:szCs w:val="28"/>
            </w:rPr>
            <w:fldChar w:fldCharType="separate"/>
          </w:r>
          <w:r>
            <w:rPr>
              <w:rFonts w:hint="default"/>
              <w:bCs/>
              <w:sz w:val="28"/>
              <w:szCs w:val="28"/>
              <w:lang w:val="en-US" w:eastAsia="zh-CN"/>
            </w:rPr>
            <w:t>6</w:t>
          </w:r>
          <w:r>
            <w:rPr>
              <w:rFonts w:hint="eastAsia"/>
              <w:sz w:val="28"/>
              <w:szCs w:val="28"/>
              <w:lang w:val="en-US" w:eastAsia="zh-CN"/>
            </w:rPr>
            <w:t xml:space="preserve">  </w:t>
          </w:r>
          <w:r>
            <w:rPr>
              <w:rFonts w:hint="default"/>
              <w:sz w:val="28"/>
              <w:szCs w:val="28"/>
              <w:lang w:val="en-US" w:eastAsia="zh-CN"/>
            </w:rPr>
            <w:t>设备及系统调试</w:t>
          </w:r>
          <w:r>
            <w:rPr>
              <w:sz w:val="28"/>
              <w:szCs w:val="28"/>
            </w:rPr>
            <w:tab/>
          </w:r>
          <w:r>
            <w:rPr>
              <w:sz w:val="28"/>
              <w:szCs w:val="28"/>
            </w:rPr>
            <w:fldChar w:fldCharType="end"/>
          </w:r>
          <w:r>
            <w:rPr>
              <w:rFonts w:hint="eastAsia"/>
              <w:sz w:val="28"/>
              <w:szCs w:val="28"/>
              <w:lang w:val="en-US" w:eastAsia="zh-CN"/>
            </w:rPr>
            <w:t>47</w:t>
          </w:r>
        </w:p>
        <w:p w14:paraId="69E3F121">
          <w:pPr>
            <w:pStyle w:val="10"/>
            <w:tabs>
              <w:tab w:val="right" w:leader="dot" w:pos="8844"/>
            </w:tabs>
            <w:rPr>
              <w:rFonts w:hint="eastAsia" w:eastAsiaTheme="minorEastAsia"/>
              <w:sz w:val="28"/>
              <w:szCs w:val="28"/>
              <w:lang w:val="en-US" w:eastAsia="zh-CN"/>
            </w:rPr>
          </w:pPr>
          <w:r>
            <w:rPr>
              <w:sz w:val="28"/>
              <w:szCs w:val="28"/>
            </w:rPr>
            <w:fldChar w:fldCharType="begin"/>
          </w:r>
          <w:r>
            <w:rPr>
              <w:sz w:val="28"/>
              <w:szCs w:val="28"/>
            </w:rPr>
            <w:instrText xml:space="preserve"> HYPERLINK \l _Toc949 </w:instrText>
          </w:r>
          <w:r>
            <w:rPr>
              <w:sz w:val="28"/>
              <w:szCs w:val="28"/>
            </w:rPr>
            <w:fldChar w:fldCharType="separate"/>
          </w:r>
          <w:r>
            <w:rPr>
              <w:rFonts w:hint="default"/>
              <w:bCs/>
              <w:sz w:val="28"/>
              <w:szCs w:val="28"/>
              <w:lang w:val="en-US" w:eastAsia="zh-CN"/>
            </w:rPr>
            <w:t>6.</w:t>
          </w:r>
          <w:r>
            <w:rPr>
              <w:rFonts w:hint="eastAsia"/>
              <w:bCs/>
              <w:sz w:val="28"/>
              <w:szCs w:val="28"/>
              <w:lang w:val="en-US" w:eastAsia="zh-CN"/>
            </w:rPr>
            <w:t xml:space="preserve"> </w:t>
          </w:r>
          <w:r>
            <w:rPr>
              <w:rFonts w:hint="default"/>
              <w:bCs/>
              <w:sz w:val="28"/>
              <w:szCs w:val="28"/>
              <w:lang w:val="en-US" w:eastAsia="zh-CN"/>
            </w:rPr>
            <w:t>2</w:t>
          </w:r>
          <w:r>
            <w:rPr>
              <w:rFonts w:hint="eastAsia"/>
              <w:sz w:val="28"/>
              <w:szCs w:val="28"/>
              <w:lang w:val="en-US" w:eastAsia="zh-CN"/>
            </w:rPr>
            <w:t xml:space="preserve">  </w:t>
          </w:r>
          <w:r>
            <w:rPr>
              <w:rFonts w:hint="default"/>
              <w:sz w:val="28"/>
              <w:szCs w:val="28"/>
              <w:lang w:val="en-US" w:eastAsia="zh-CN"/>
            </w:rPr>
            <w:t>光伏场区调试</w:t>
          </w:r>
          <w:r>
            <w:rPr>
              <w:sz w:val="28"/>
              <w:szCs w:val="28"/>
            </w:rPr>
            <w:tab/>
          </w:r>
          <w:r>
            <w:rPr>
              <w:rFonts w:hint="eastAsia"/>
              <w:sz w:val="28"/>
              <w:szCs w:val="28"/>
              <w:lang w:val="en-US" w:eastAsia="zh-CN"/>
            </w:rPr>
            <w:t>4</w:t>
          </w:r>
          <w:r>
            <w:rPr>
              <w:sz w:val="28"/>
              <w:szCs w:val="28"/>
            </w:rPr>
            <w:fldChar w:fldCharType="end"/>
          </w:r>
          <w:r>
            <w:rPr>
              <w:rFonts w:hint="eastAsia"/>
              <w:sz w:val="28"/>
              <w:szCs w:val="28"/>
              <w:lang w:val="en-US" w:eastAsia="zh-CN"/>
            </w:rPr>
            <w:t>7</w:t>
          </w:r>
        </w:p>
        <w:p w14:paraId="7144910D">
          <w:pPr>
            <w:pStyle w:val="6"/>
            <w:rPr>
              <w:rFonts w:asciiTheme="minorHAnsi" w:hAnsiTheme="minorHAnsi" w:eastAsiaTheme="minorEastAsia" w:cstheme="minorBidi"/>
              <w:b/>
              <w:kern w:val="2"/>
              <w:sz w:val="21"/>
              <w:szCs w:val="24"/>
              <w:lang w:val="en-US" w:eastAsia="zh-CN" w:bidi="ar-SA"/>
            </w:rPr>
          </w:pPr>
          <w:r>
            <w:fldChar w:fldCharType="end"/>
          </w:r>
        </w:p>
      </w:sdtContent>
    </w:sdt>
    <w:p w14:paraId="0F11C486">
      <w:pPr>
        <w:pStyle w:val="6"/>
        <w:rPr>
          <w:rFonts w:hint="default" w:asciiTheme="minorHAnsi" w:hAnsiTheme="minorHAnsi" w:eastAsiaTheme="minorEastAsia" w:cstheme="minorBidi"/>
          <w:b/>
          <w:kern w:val="2"/>
          <w:sz w:val="21"/>
          <w:szCs w:val="24"/>
          <w:lang w:val="en-US" w:eastAsia="zh-CN" w:bidi="ar-SA"/>
        </w:rPr>
      </w:pPr>
    </w:p>
    <w:p w14:paraId="54F5F042">
      <w:pPr>
        <w:pStyle w:val="6"/>
        <w:rPr>
          <w:rFonts w:hint="default"/>
          <w:sz w:val="28"/>
          <w:szCs w:val="28"/>
          <w:lang w:val="en-US" w:eastAsia="zh-CN"/>
        </w:rPr>
      </w:pPr>
    </w:p>
    <w:p w14:paraId="0B2B62FA">
      <w:pPr>
        <w:pStyle w:val="6"/>
        <w:rPr>
          <w:rFonts w:hint="default"/>
          <w:sz w:val="28"/>
          <w:szCs w:val="28"/>
          <w:lang w:val="en-US" w:eastAsia="zh-CN"/>
        </w:rPr>
      </w:pPr>
    </w:p>
    <w:p w14:paraId="35B522D4">
      <w:pPr>
        <w:pStyle w:val="6"/>
        <w:rPr>
          <w:rFonts w:hint="default"/>
          <w:sz w:val="28"/>
          <w:szCs w:val="28"/>
          <w:lang w:val="en-US" w:eastAsia="zh-CN"/>
        </w:rPr>
      </w:pPr>
    </w:p>
    <w:p w14:paraId="09B9A686">
      <w:pPr>
        <w:pStyle w:val="6"/>
        <w:rPr>
          <w:rFonts w:hint="default"/>
          <w:sz w:val="28"/>
          <w:szCs w:val="28"/>
          <w:lang w:val="en-US" w:eastAsia="zh-CN"/>
        </w:rPr>
      </w:pPr>
    </w:p>
    <w:p w14:paraId="10A230DB">
      <w:pPr>
        <w:pStyle w:val="6"/>
        <w:rPr>
          <w:rFonts w:hint="default"/>
          <w:sz w:val="28"/>
          <w:szCs w:val="28"/>
          <w:lang w:val="en-US" w:eastAsia="zh-CN"/>
        </w:rPr>
      </w:pPr>
      <w:bookmarkStart w:id="179" w:name="_GoBack"/>
      <w:bookmarkEnd w:id="179"/>
    </w:p>
    <w:p w14:paraId="0C9EC408">
      <w:pPr>
        <w:pStyle w:val="6"/>
        <w:rPr>
          <w:rFonts w:hint="default"/>
          <w:sz w:val="28"/>
          <w:szCs w:val="28"/>
          <w:lang w:val="en-US" w:eastAsia="zh-CN"/>
        </w:rPr>
      </w:pPr>
    </w:p>
    <w:p w14:paraId="4FAC84BC">
      <w:pPr>
        <w:pStyle w:val="6"/>
        <w:rPr>
          <w:rFonts w:hint="default"/>
          <w:sz w:val="28"/>
          <w:szCs w:val="28"/>
          <w:lang w:val="en-US" w:eastAsia="zh-CN"/>
        </w:rPr>
      </w:pPr>
    </w:p>
    <w:p w14:paraId="05710CB8">
      <w:pPr>
        <w:pStyle w:val="6"/>
        <w:rPr>
          <w:rFonts w:hint="default"/>
          <w:sz w:val="28"/>
          <w:szCs w:val="28"/>
          <w:lang w:val="en-US" w:eastAsia="zh-CN"/>
        </w:rPr>
      </w:pPr>
    </w:p>
    <w:p w14:paraId="640636C6">
      <w:pPr>
        <w:pStyle w:val="6"/>
        <w:rPr>
          <w:rFonts w:hint="default"/>
          <w:sz w:val="28"/>
          <w:szCs w:val="28"/>
          <w:lang w:val="en-US" w:eastAsia="zh-CN"/>
        </w:rPr>
      </w:pPr>
    </w:p>
    <w:p w14:paraId="77001945">
      <w:pPr>
        <w:pStyle w:val="6"/>
        <w:rPr>
          <w:rFonts w:hint="default"/>
          <w:sz w:val="28"/>
          <w:szCs w:val="28"/>
          <w:lang w:val="en-US" w:eastAsia="zh-CN"/>
        </w:rPr>
      </w:pPr>
    </w:p>
    <w:p w14:paraId="0494D3BF">
      <w:pPr>
        <w:pStyle w:val="6"/>
        <w:rPr>
          <w:rFonts w:hint="default"/>
          <w:sz w:val="28"/>
          <w:szCs w:val="28"/>
          <w:lang w:val="en-US" w:eastAsia="zh-CN"/>
        </w:rPr>
      </w:pPr>
    </w:p>
    <w:p w14:paraId="70869D75">
      <w:pPr>
        <w:pStyle w:val="6"/>
        <w:rPr>
          <w:rFonts w:hint="default"/>
          <w:sz w:val="28"/>
          <w:szCs w:val="28"/>
          <w:lang w:val="en-US" w:eastAsia="zh-CN"/>
        </w:rPr>
      </w:pPr>
    </w:p>
    <w:p w14:paraId="537299B2">
      <w:pPr>
        <w:pStyle w:val="26"/>
        <w:keepNext w:val="0"/>
        <w:keepLines w:val="0"/>
        <w:pageBreakBefore w:val="0"/>
        <w:widowControl w:val="0"/>
        <w:kinsoku/>
        <w:wordWrap/>
        <w:overflowPunct/>
        <w:topLinePunct w:val="0"/>
        <w:autoSpaceDE/>
        <w:autoSpaceDN/>
        <w:bidi w:val="0"/>
        <w:adjustRightInd w:val="0"/>
        <w:snapToGrid w:val="0"/>
        <w:spacing w:after="0" w:afterLines="0"/>
        <w:textAlignment w:val="auto"/>
        <w:outlineLvl w:val="0"/>
        <w:rPr>
          <w:rFonts w:hint="default"/>
          <w:lang w:val="en-US" w:eastAsia="zh-CN"/>
        </w:rPr>
      </w:pPr>
      <w:bookmarkStart w:id="171" w:name="_Toc10247"/>
      <w:bookmarkStart w:id="172" w:name="_Toc31685"/>
      <w:r>
        <w:rPr>
          <w:rFonts w:hint="eastAsia"/>
          <w:b/>
          <w:bCs/>
          <w:lang w:val="en-US" w:eastAsia="zh-CN"/>
        </w:rPr>
        <w:t>5</w:t>
      </w:r>
      <w:r>
        <w:rPr>
          <w:rFonts w:hint="eastAsia"/>
          <w:lang w:val="en-US" w:eastAsia="zh-CN"/>
        </w:rPr>
        <w:t xml:space="preserve">  安装工程</w:t>
      </w:r>
      <w:bookmarkEnd w:id="171"/>
      <w:bookmarkEnd w:id="172"/>
    </w:p>
    <w:p w14:paraId="4636169E">
      <w:pPr>
        <w:pStyle w:val="27"/>
        <w:bidi w:val="0"/>
        <w:outlineLvl w:val="1"/>
        <w:rPr>
          <w:rFonts w:hint="default"/>
          <w:lang w:val="en-US" w:eastAsia="zh-CN"/>
        </w:rPr>
      </w:pPr>
      <w:bookmarkStart w:id="173" w:name="_Toc4151"/>
      <w:bookmarkStart w:id="174" w:name="_Toc29305"/>
      <w:r>
        <w:rPr>
          <w:rFonts w:hint="default"/>
          <w:b/>
          <w:bCs/>
          <w:lang w:val="en-US" w:eastAsia="zh-CN"/>
        </w:rPr>
        <w:t>5.</w:t>
      </w:r>
      <w:r>
        <w:rPr>
          <w:rFonts w:hint="eastAsia"/>
          <w:b/>
          <w:bCs/>
          <w:lang w:val="en-US" w:eastAsia="zh-CN"/>
        </w:rPr>
        <w:t xml:space="preserve"> </w:t>
      </w:r>
      <w:r>
        <w:rPr>
          <w:rFonts w:hint="default"/>
          <w:b/>
          <w:bCs/>
          <w:lang w:val="en-US" w:eastAsia="zh-CN"/>
        </w:rPr>
        <w:t>2</w:t>
      </w:r>
      <w:r>
        <w:rPr>
          <w:rFonts w:hint="eastAsia"/>
          <w:lang w:val="en-US" w:eastAsia="zh-CN"/>
        </w:rPr>
        <w:t xml:space="preserve">  </w:t>
      </w:r>
      <w:r>
        <w:rPr>
          <w:rFonts w:hint="default"/>
          <w:lang w:val="en-US" w:eastAsia="zh-CN"/>
        </w:rPr>
        <w:t>支架安装</w:t>
      </w:r>
      <w:bookmarkEnd w:id="173"/>
      <w:bookmarkEnd w:id="174"/>
    </w:p>
    <w:p w14:paraId="4068E7A7">
      <w:pPr>
        <w:pStyle w:val="20"/>
        <w:bidi w:val="0"/>
        <w:rPr>
          <w:rFonts w:hint="default" w:ascii="Times New Roman" w:hAnsi="Times New Roman" w:eastAsia="宋体" w:cs="Times New Roman"/>
          <w:lang w:val="en-US" w:eastAsia="zh-CN"/>
        </w:rPr>
      </w:pPr>
      <w:r>
        <w:rPr>
          <w:rFonts w:hint="default" w:ascii="Times New Roman" w:hAnsi="Times New Roman" w:eastAsia="宋体" w:cs="Times New Roman"/>
          <w:b/>
          <w:bCs/>
          <w:lang w:val="en-US" w:eastAsia="zh-CN"/>
        </w:rPr>
        <w:t>5.</w:t>
      </w:r>
      <w:r>
        <w:rPr>
          <w:rFonts w:hint="eastAsia" w:ascii="Times New Roman" w:hAnsi="Times New Roman" w:eastAsia="宋体" w:cs="Times New Roman"/>
          <w:b/>
          <w:bCs/>
          <w:lang w:val="en-US" w:eastAsia="zh-CN"/>
        </w:rPr>
        <w:t xml:space="preserve"> </w:t>
      </w:r>
      <w:r>
        <w:rPr>
          <w:rFonts w:hint="default" w:ascii="Times New Roman" w:hAnsi="Times New Roman" w:eastAsia="宋体" w:cs="Times New Roman"/>
          <w:b/>
          <w:bCs/>
          <w:lang w:val="en-US" w:eastAsia="zh-CN"/>
        </w:rPr>
        <w:t>2.</w:t>
      </w:r>
      <w:r>
        <w:rPr>
          <w:rFonts w:hint="eastAsia" w:ascii="Times New Roman" w:hAnsi="Times New Roman" w:eastAsia="宋体" w:cs="Times New Roman"/>
          <w:b/>
          <w:bCs/>
          <w:lang w:val="en-US" w:eastAsia="zh-CN"/>
        </w:rPr>
        <w:t xml:space="preserve"> </w:t>
      </w:r>
      <w:r>
        <w:rPr>
          <w:rFonts w:hint="default" w:ascii="Times New Roman" w:hAnsi="Times New Roman" w:eastAsia="宋体" w:cs="Times New Roman"/>
          <w:b/>
          <w:bCs/>
          <w:lang w:val="en-US" w:eastAsia="zh-CN"/>
        </w:rPr>
        <w:t>2</w:t>
      </w:r>
      <w:r>
        <w:rPr>
          <w:rFonts w:hint="default" w:ascii="Times New Roman" w:hAnsi="Times New Roman" w:eastAsia="宋体" w:cs="Times New Roman"/>
          <w:lang w:val="en-US" w:eastAsia="zh-CN"/>
        </w:rPr>
        <w:t xml:space="preserve"> 可采用无人机、机器人等新型运输作业方式，避免损坏支架。</w:t>
      </w:r>
    </w:p>
    <w:p w14:paraId="766AA662">
      <w:pPr>
        <w:pStyle w:val="6"/>
        <w:rPr>
          <w:rFonts w:hint="default"/>
          <w:sz w:val="28"/>
          <w:szCs w:val="28"/>
          <w:lang w:val="en-US" w:eastAsia="zh-CN"/>
        </w:rPr>
      </w:pPr>
    </w:p>
    <w:p w14:paraId="37502CF5">
      <w:pPr>
        <w:pStyle w:val="6"/>
        <w:rPr>
          <w:rFonts w:hint="default"/>
          <w:sz w:val="28"/>
          <w:szCs w:val="28"/>
          <w:lang w:val="en-US" w:eastAsia="zh-CN"/>
        </w:rPr>
      </w:pPr>
    </w:p>
    <w:p w14:paraId="27AE2F8F">
      <w:pPr>
        <w:pStyle w:val="6"/>
        <w:rPr>
          <w:rFonts w:hint="default"/>
          <w:sz w:val="28"/>
          <w:szCs w:val="28"/>
          <w:lang w:val="en-US" w:eastAsia="zh-CN"/>
        </w:rPr>
      </w:pPr>
    </w:p>
    <w:p w14:paraId="437B012E">
      <w:pPr>
        <w:pStyle w:val="6"/>
        <w:rPr>
          <w:rFonts w:hint="default"/>
          <w:sz w:val="28"/>
          <w:szCs w:val="28"/>
          <w:lang w:val="en-US" w:eastAsia="zh-CN"/>
        </w:rPr>
      </w:pPr>
    </w:p>
    <w:p w14:paraId="289CB369">
      <w:pPr>
        <w:pStyle w:val="6"/>
        <w:rPr>
          <w:rFonts w:hint="default"/>
          <w:sz w:val="28"/>
          <w:szCs w:val="28"/>
          <w:lang w:val="en-US" w:eastAsia="zh-CN"/>
        </w:rPr>
      </w:pPr>
    </w:p>
    <w:p w14:paraId="3C9DA416">
      <w:pPr>
        <w:pStyle w:val="6"/>
        <w:rPr>
          <w:rFonts w:hint="default"/>
          <w:sz w:val="28"/>
          <w:szCs w:val="28"/>
          <w:lang w:val="en-US" w:eastAsia="zh-CN"/>
        </w:rPr>
      </w:pPr>
    </w:p>
    <w:p w14:paraId="3FDB8EAD">
      <w:pPr>
        <w:pStyle w:val="6"/>
        <w:rPr>
          <w:rFonts w:hint="default"/>
          <w:sz w:val="28"/>
          <w:szCs w:val="28"/>
          <w:lang w:val="en-US" w:eastAsia="zh-CN"/>
        </w:rPr>
      </w:pPr>
    </w:p>
    <w:p w14:paraId="3EE91217">
      <w:pPr>
        <w:pStyle w:val="6"/>
        <w:rPr>
          <w:rFonts w:hint="default"/>
          <w:sz w:val="28"/>
          <w:szCs w:val="28"/>
          <w:lang w:val="en-US" w:eastAsia="zh-CN"/>
        </w:rPr>
      </w:pPr>
    </w:p>
    <w:p w14:paraId="32266F86">
      <w:pPr>
        <w:pStyle w:val="6"/>
        <w:rPr>
          <w:rFonts w:hint="default"/>
          <w:sz w:val="28"/>
          <w:szCs w:val="28"/>
          <w:lang w:val="en-US" w:eastAsia="zh-CN"/>
        </w:rPr>
      </w:pPr>
    </w:p>
    <w:p w14:paraId="199566FB">
      <w:pPr>
        <w:pStyle w:val="6"/>
        <w:rPr>
          <w:rFonts w:hint="default"/>
          <w:sz w:val="28"/>
          <w:szCs w:val="28"/>
          <w:lang w:val="en-US" w:eastAsia="zh-CN"/>
        </w:rPr>
      </w:pPr>
    </w:p>
    <w:p w14:paraId="4AC4C81A">
      <w:pPr>
        <w:pStyle w:val="6"/>
        <w:rPr>
          <w:rFonts w:hint="default"/>
          <w:sz w:val="28"/>
          <w:szCs w:val="28"/>
          <w:lang w:val="en-US" w:eastAsia="zh-CN"/>
        </w:rPr>
      </w:pPr>
    </w:p>
    <w:p w14:paraId="0D97E76D">
      <w:pPr>
        <w:pStyle w:val="6"/>
        <w:rPr>
          <w:rFonts w:hint="default"/>
          <w:sz w:val="28"/>
          <w:szCs w:val="28"/>
          <w:lang w:val="en-US" w:eastAsia="zh-CN"/>
        </w:rPr>
      </w:pPr>
    </w:p>
    <w:p w14:paraId="663FE8F6">
      <w:pPr>
        <w:pStyle w:val="6"/>
        <w:rPr>
          <w:rFonts w:hint="default"/>
          <w:sz w:val="28"/>
          <w:szCs w:val="28"/>
          <w:lang w:val="en-US" w:eastAsia="zh-CN"/>
        </w:rPr>
      </w:pPr>
    </w:p>
    <w:p w14:paraId="26ECC22D">
      <w:pPr>
        <w:pStyle w:val="6"/>
        <w:rPr>
          <w:rFonts w:hint="default"/>
          <w:sz w:val="28"/>
          <w:szCs w:val="28"/>
          <w:lang w:val="en-US" w:eastAsia="zh-CN"/>
        </w:rPr>
      </w:pPr>
    </w:p>
    <w:p w14:paraId="440A0AA6">
      <w:pPr>
        <w:pStyle w:val="6"/>
        <w:rPr>
          <w:rFonts w:hint="default"/>
          <w:sz w:val="28"/>
          <w:szCs w:val="28"/>
          <w:lang w:val="en-US" w:eastAsia="zh-CN"/>
        </w:rPr>
      </w:pPr>
    </w:p>
    <w:p w14:paraId="1F3D60B9">
      <w:pPr>
        <w:pStyle w:val="26"/>
        <w:bidi w:val="0"/>
        <w:outlineLvl w:val="0"/>
        <w:rPr>
          <w:rFonts w:hint="default"/>
          <w:lang w:val="en-US" w:eastAsia="zh-CN"/>
        </w:rPr>
      </w:pPr>
      <w:bookmarkStart w:id="175" w:name="_Toc16044"/>
      <w:bookmarkStart w:id="176" w:name="_Toc16483"/>
      <w:r>
        <w:rPr>
          <w:rFonts w:hint="default"/>
          <w:b/>
          <w:bCs/>
          <w:lang w:val="en-US" w:eastAsia="zh-CN"/>
        </w:rPr>
        <w:t>6</w:t>
      </w:r>
      <w:r>
        <w:rPr>
          <w:rFonts w:hint="eastAsia"/>
          <w:lang w:val="en-US" w:eastAsia="zh-CN"/>
        </w:rPr>
        <w:t xml:space="preserve">  </w:t>
      </w:r>
      <w:r>
        <w:rPr>
          <w:rFonts w:hint="default"/>
          <w:lang w:val="en-US" w:eastAsia="zh-CN"/>
        </w:rPr>
        <w:t>设备及系统调试</w:t>
      </w:r>
      <w:bookmarkEnd w:id="175"/>
      <w:bookmarkEnd w:id="176"/>
    </w:p>
    <w:p w14:paraId="7C8BB79D">
      <w:pPr>
        <w:pStyle w:val="27"/>
        <w:bidi w:val="0"/>
        <w:outlineLvl w:val="1"/>
        <w:rPr>
          <w:rFonts w:hint="default"/>
          <w:lang w:val="en-US" w:eastAsia="zh-CN"/>
        </w:rPr>
      </w:pPr>
      <w:bookmarkStart w:id="177" w:name="_Toc949"/>
      <w:bookmarkStart w:id="178" w:name="_Toc582"/>
      <w:r>
        <w:rPr>
          <w:rFonts w:hint="default"/>
          <w:b/>
          <w:bCs/>
          <w:lang w:val="en-US" w:eastAsia="zh-CN"/>
        </w:rPr>
        <w:t>6.</w:t>
      </w:r>
      <w:r>
        <w:rPr>
          <w:rFonts w:hint="eastAsia"/>
          <w:b/>
          <w:bCs/>
          <w:lang w:val="en-US" w:eastAsia="zh-CN"/>
        </w:rPr>
        <w:t xml:space="preserve"> </w:t>
      </w:r>
      <w:r>
        <w:rPr>
          <w:rFonts w:hint="default"/>
          <w:b/>
          <w:bCs/>
          <w:lang w:val="en-US" w:eastAsia="zh-CN"/>
        </w:rPr>
        <w:t>2</w:t>
      </w:r>
      <w:r>
        <w:rPr>
          <w:rFonts w:hint="eastAsia"/>
          <w:lang w:val="en-US" w:eastAsia="zh-CN"/>
        </w:rPr>
        <w:t xml:space="preserve">  </w:t>
      </w:r>
      <w:r>
        <w:rPr>
          <w:rFonts w:hint="default"/>
          <w:lang w:val="en-US" w:eastAsia="zh-CN"/>
        </w:rPr>
        <w:t>光伏场区调试</w:t>
      </w:r>
      <w:bookmarkEnd w:id="177"/>
      <w:bookmarkEnd w:id="178"/>
    </w:p>
    <w:p w14:paraId="7B626B27">
      <w:pPr>
        <w:pStyle w:val="20"/>
        <w:bidi w:val="0"/>
        <w:rPr>
          <w:rFonts w:hint="default" w:ascii="Times New Roman" w:hAnsi="Times New Roman" w:eastAsia="宋体" w:cs="Times New Roman"/>
          <w:lang w:val="en-US" w:eastAsia="zh-CN"/>
        </w:rPr>
      </w:pPr>
      <w:r>
        <w:rPr>
          <w:rFonts w:hint="default" w:ascii="Times New Roman" w:hAnsi="Times New Roman" w:eastAsia="宋体" w:cs="Times New Roman"/>
          <w:b/>
          <w:bCs/>
          <w:lang w:val="en-US" w:eastAsia="zh-CN"/>
        </w:rPr>
        <w:t>6.</w:t>
      </w:r>
      <w:r>
        <w:rPr>
          <w:rFonts w:hint="eastAsia" w:ascii="Times New Roman" w:hAnsi="Times New Roman" w:eastAsia="宋体" w:cs="Times New Roman"/>
          <w:b/>
          <w:bCs/>
          <w:lang w:val="en-US" w:eastAsia="zh-CN"/>
        </w:rPr>
        <w:t xml:space="preserve"> </w:t>
      </w:r>
      <w:r>
        <w:rPr>
          <w:rFonts w:hint="default" w:ascii="Times New Roman" w:hAnsi="Times New Roman" w:eastAsia="宋体" w:cs="Times New Roman"/>
          <w:b/>
          <w:bCs/>
          <w:lang w:val="en-US" w:eastAsia="zh-CN"/>
        </w:rPr>
        <w:t>2.</w:t>
      </w:r>
      <w:r>
        <w:rPr>
          <w:rFonts w:hint="eastAsia" w:ascii="Times New Roman" w:hAnsi="Times New Roman" w:eastAsia="宋体" w:cs="Times New Roman"/>
          <w:b/>
          <w:bCs/>
          <w:lang w:val="en-US" w:eastAsia="zh-CN"/>
        </w:rPr>
        <w:t xml:space="preserve"> </w:t>
      </w:r>
      <w:r>
        <w:rPr>
          <w:rFonts w:hint="default" w:ascii="Times New Roman" w:hAnsi="Times New Roman" w:eastAsia="宋体" w:cs="Times New Roman"/>
          <w:b/>
          <w:bCs/>
          <w:lang w:val="en-US" w:eastAsia="zh-CN"/>
        </w:rPr>
        <w:t>4</w:t>
      </w:r>
      <w:r>
        <w:rPr>
          <w:rFonts w:hint="default" w:ascii="Times New Roman" w:hAnsi="Times New Roman" w:eastAsia="宋体" w:cs="Times New Roman"/>
          <w:lang w:val="en-US" w:eastAsia="zh-CN"/>
        </w:rPr>
        <w:t xml:space="preserve"> 如发现某组串无输出电压或检测值与预测值偏差较大时，应对该组串内各组件和组件之间的连接进行检查。预期值的获取可采用下列方法中的其中一种：</w:t>
      </w:r>
    </w:p>
    <w:p w14:paraId="13ECF34F">
      <w:pPr>
        <w:pStyle w:val="20"/>
        <w:bidi w:val="0"/>
        <w:ind w:firstLine="562" w:firstLineChars="200"/>
        <w:rPr>
          <w:rFonts w:hint="default" w:ascii="Times New Roman" w:hAnsi="Times New Roman" w:eastAsia="宋体" w:cs="Times New Roman"/>
          <w:lang w:val="en-US" w:eastAsia="zh-CN"/>
        </w:rPr>
      </w:pPr>
      <w:r>
        <w:rPr>
          <w:rFonts w:hint="default" w:ascii="Times New Roman" w:hAnsi="Times New Roman" w:eastAsia="宋体" w:cs="Times New Roman"/>
          <w:b/>
          <w:bCs/>
          <w:lang w:val="en-US" w:eastAsia="zh-CN"/>
        </w:rPr>
        <w:t>1</w:t>
      </w:r>
      <w:r>
        <w:rPr>
          <w:rFonts w:hint="default" w:ascii="Times New Roman" w:hAnsi="Times New Roman" w:eastAsia="宋体" w:cs="Times New Roman"/>
          <w:lang w:val="en-US" w:eastAsia="zh-CN"/>
        </w:rPr>
        <w:t xml:space="preserve">  根据光伏组件规格参数、组件串联数以及太阳电池温度计算预期值。</w:t>
      </w:r>
    </w:p>
    <w:p w14:paraId="014E63CD">
      <w:pPr>
        <w:pStyle w:val="20"/>
        <w:bidi w:val="0"/>
        <w:ind w:firstLine="562" w:firstLineChars="200"/>
        <w:rPr>
          <w:rFonts w:hint="default" w:ascii="Times New Roman" w:hAnsi="Times New Roman" w:eastAsia="宋体" w:cs="Times New Roman"/>
          <w:lang w:val="en-US" w:eastAsia="zh-CN"/>
        </w:rPr>
      </w:pPr>
      <w:r>
        <w:rPr>
          <w:rFonts w:hint="default" w:ascii="Times New Roman" w:hAnsi="Times New Roman" w:eastAsia="宋体" w:cs="Times New Roman"/>
          <w:b/>
          <w:bCs/>
          <w:lang w:val="en-US" w:eastAsia="zh-CN"/>
        </w:rPr>
        <w:t>2</w:t>
      </w:r>
      <w:r>
        <w:rPr>
          <w:rFonts w:hint="default" w:ascii="Times New Roman" w:hAnsi="Times New Roman" w:eastAsia="宋体" w:cs="Times New Roman"/>
          <w:lang w:val="en-US" w:eastAsia="zh-CN"/>
        </w:rPr>
        <w:t xml:space="preserve">  测量组串中其中一块光伏组件开路电压 VOC，并以此计算整个组串的开路电压预期值（本方法适用于稳定的光照条件下）。</w:t>
      </w:r>
    </w:p>
    <w:p w14:paraId="7D6108F3">
      <w:pPr>
        <w:pStyle w:val="20"/>
        <w:bidi w:val="0"/>
        <w:ind w:firstLine="562" w:firstLineChars="200"/>
        <w:rPr>
          <w:rFonts w:hint="default" w:ascii="Times New Roman" w:hAnsi="Times New Roman" w:eastAsia="宋体" w:cs="Times New Roman"/>
          <w:lang w:val="en-US" w:eastAsia="zh-CN"/>
        </w:rPr>
      </w:pPr>
      <w:r>
        <w:rPr>
          <w:rFonts w:hint="default" w:ascii="Times New Roman" w:hAnsi="Times New Roman" w:eastAsia="宋体" w:cs="Times New Roman"/>
          <w:b/>
          <w:bCs/>
          <w:lang w:val="en-US" w:eastAsia="zh-CN"/>
        </w:rPr>
        <w:t>3</w:t>
      </w:r>
      <w:r>
        <w:rPr>
          <w:rFonts w:hint="default" w:ascii="Times New Roman" w:hAnsi="Times New Roman" w:eastAsia="宋体" w:cs="Times New Roman"/>
          <w:lang w:val="en-US" w:eastAsia="zh-CN"/>
        </w:rPr>
        <w:t xml:space="preserve">  若已测定系统中的多组光伏组串开路电压，且在稳定的光照条件下，后续检测的组串开路电压可通过与已测组串开路电压进行对比。</w:t>
      </w:r>
    </w:p>
    <w:p w14:paraId="18B5F0E1">
      <w:pPr>
        <w:pStyle w:val="20"/>
        <w:bidi w:val="0"/>
        <w:ind w:firstLine="562" w:firstLineChars="200"/>
        <w:rPr>
          <w:rFonts w:hint="default" w:ascii="Times New Roman" w:hAnsi="Times New Roman" w:eastAsia="宋体" w:cs="Times New Roman"/>
          <w:lang w:val="en-US" w:eastAsia="zh-CN"/>
        </w:rPr>
      </w:pPr>
      <w:r>
        <w:rPr>
          <w:rFonts w:hint="default" w:ascii="Times New Roman" w:hAnsi="Times New Roman" w:eastAsia="宋体" w:cs="Times New Roman"/>
          <w:b/>
          <w:bCs/>
          <w:lang w:val="en-US" w:eastAsia="zh-CN"/>
        </w:rPr>
        <w:t>4</w:t>
      </w:r>
      <w:r>
        <w:rPr>
          <w:rFonts w:hint="default" w:ascii="Times New Roman" w:hAnsi="Times New Roman" w:eastAsia="宋体" w:cs="Times New Roman"/>
          <w:lang w:val="en-US" w:eastAsia="zh-CN"/>
        </w:rPr>
        <w:t xml:space="preserve">  若测定系统中的多组光伏组串开路电压，但光照条件不稳定时，可采用多台检测设备同时检测的方法，对比已测和待测组串的开路电压。</w:t>
      </w:r>
    </w:p>
    <w:sectPr>
      <w:footerReference r:id="rId8" w:type="default"/>
      <w:pgSz w:w="11907" w:h="16840"/>
      <w:pgMar w:top="1440" w:right="1531" w:bottom="1440"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decorative"/>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86889">
    <w:pPr>
      <w:tabs>
        <w:tab w:val="center" w:pos="4153"/>
        <w:tab w:val="right" w:pos="8306"/>
      </w:tabs>
      <w:rPr>
        <w:rFonts w:hint="eastAsia" w:ascii="等线" w:hAnsi="等线" w:eastAsia="宋体" w:cs="Times New Roman"/>
        <w:snapToGrid w:val="0"/>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646A2">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A3FD7">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28486">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43205" cy="259715"/>
              <wp:effectExtent l="0" t="0" r="0" b="0"/>
              <wp:wrapNone/>
              <wp:docPr id="6" name="文本框 6"/>
              <wp:cNvGraphicFramePr/>
              <a:graphic xmlns:a="http://schemas.openxmlformats.org/drawingml/2006/main">
                <a:graphicData uri="http://schemas.microsoft.com/office/word/2010/wordprocessingShape">
                  <wps:wsp>
                    <wps:cNvSpPr txBox="1"/>
                    <wps:spPr>
                      <a:xfrm>
                        <a:off x="0" y="0"/>
                        <a:ext cx="243205" cy="2597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7E3DE8">
                          <w:pPr>
                            <w:pStyle w:val="7"/>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0.45pt;width:19.15pt;mso-position-horizontal:center;mso-position-horizontal-relative:margin;z-index:251662336;mso-width-relative:page;mso-height-relative:page;" filled="f" stroked="f" coordsize="21600,21600" o:gfxdata="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4uEqO0wAAAAMBAAAPAAAAAAAAAAEAIAAAACIAAABkcnMvZG93bnJldi54&#10;bWxQSwECFAAUAAAACACHTuJA6z512jgCAABhBAAADgAAAAAAAAABACAAAAAiAQAAZHJzL2Uyb0Rv&#10;Yy54bWxQSwUGAAAAAAYABgBZAQAAzAUAAAAA&#10;">
              <v:fill on="f" focussize="0,0"/>
              <v:stroke on="f" weight="0.5pt"/>
              <v:imagedata o:title=""/>
              <o:lock v:ext="edit" aspectratio="f"/>
              <v:textbox inset="0mm,0mm,0mm,0mm">
                <w:txbxContent>
                  <w:p w14:paraId="3E7E3DE8">
                    <w:pPr>
                      <w:pStyle w:val="7"/>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04FDA">
    <w:pPr>
      <w:pStyle w:val="7"/>
      <w:pBdr>
        <w:top w:val="none" w:color="auto" w:sz="0" w:space="0"/>
        <w:bottom w:val="none" w:color="auto" w:sz="0" w:space="0"/>
      </w:pBd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EE5B4">
                          <w:pPr>
                            <w:pStyle w:val="7"/>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- 11 -</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021EE5B4">
                    <w:pPr>
                      <w:pStyle w:val="7"/>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- 11 -</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1A1B3">
    <w:pPr>
      <w:pBdr>
        <w:bottom w:val="none" w:color="auto" w:sz="0" w:space="1"/>
      </w:pBdr>
      <w:tabs>
        <w:tab w:val="center" w:pos="4153"/>
        <w:tab w:val="right" w:pos="8306"/>
      </w:tabs>
      <w:jc w:val="center"/>
      <w:rPr>
        <w:rFonts w:hint="eastAsia" w:ascii="等线" w:hAnsi="等线" w:eastAsia="宋体" w:cs="Times New Roman"/>
        <w:snapToGrid w:val="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1D3FEA"/>
    <w:multiLevelType w:val="multilevel"/>
    <w:tmpl w:val="111D3FEA"/>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23AFDC4"/>
    <w:multiLevelType w:val="singleLevel"/>
    <w:tmpl w:val="323AFDC4"/>
    <w:lvl w:ilvl="0" w:tentative="0">
      <w:start w:val="1"/>
      <w:numFmt w:val="decimal"/>
      <w:lvlText w:val="%1"/>
      <w:lvlJc w:val="left"/>
      <w:pPr>
        <w:tabs>
          <w:tab w:val="left" w:pos="420"/>
        </w:tabs>
        <w:ind w:left="425" w:leftChars="0" w:hanging="425" w:firstLineChars="0"/>
      </w:pPr>
      <w:rPr>
        <w:rFonts w:hint="default"/>
        <w:b/>
        <w:bCs/>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C42"/>
    <w:rsid w:val="00024C42"/>
    <w:rsid w:val="000913FD"/>
    <w:rsid w:val="000A608B"/>
    <w:rsid w:val="00132A5A"/>
    <w:rsid w:val="001B1C2F"/>
    <w:rsid w:val="00220C81"/>
    <w:rsid w:val="002B256B"/>
    <w:rsid w:val="002B5105"/>
    <w:rsid w:val="002E1A0F"/>
    <w:rsid w:val="00321CBE"/>
    <w:rsid w:val="003614F4"/>
    <w:rsid w:val="00374E64"/>
    <w:rsid w:val="00395530"/>
    <w:rsid w:val="003975FE"/>
    <w:rsid w:val="003E4856"/>
    <w:rsid w:val="00490103"/>
    <w:rsid w:val="004D5D5F"/>
    <w:rsid w:val="0050475D"/>
    <w:rsid w:val="00572ABC"/>
    <w:rsid w:val="00581285"/>
    <w:rsid w:val="005F481F"/>
    <w:rsid w:val="006354C3"/>
    <w:rsid w:val="00652CD1"/>
    <w:rsid w:val="006801AA"/>
    <w:rsid w:val="006C24F4"/>
    <w:rsid w:val="006F0289"/>
    <w:rsid w:val="006F1745"/>
    <w:rsid w:val="00723D60"/>
    <w:rsid w:val="0075760E"/>
    <w:rsid w:val="007956C0"/>
    <w:rsid w:val="007A4B44"/>
    <w:rsid w:val="00852A28"/>
    <w:rsid w:val="00853D53"/>
    <w:rsid w:val="008B2575"/>
    <w:rsid w:val="008B2EEB"/>
    <w:rsid w:val="00937C38"/>
    <w:rsid w:val="00960A13"/>
    <w:rsid w:val="00A0642C"/>
    <w:rsid w:val="00A1346C"/>
    <w:rsid w:val="00A1681B"/>
    <w:rsid w:val="00B11130"/>
    <w:rsid w:val="00B22B87"/>
    <w:rsid w:val="00B46C74"/>
    <w:rsid w:val="00BC2C8E"/>
    <w:rsid w:val="00BD5A28"/>
    <w:rsid w:val="00C53CB1"/>
    <w:rsid w:val="00C643DA"/>
    <w:rsid w:val="00C76E50"/>
    <w:rsid w:val="00CB319C"/>
    <w:rsid w:val="00CC19DC"/>
    <w:rsid w:val="00CC3186"/>
    <w:rsid w:val="00D4675F"/>
    <w:rsid w:val="00DB1C51"/>
    <w:rsid w:val="00DC4463"/>
    <w:rsid w:val="00DD467D"/>
    <w:rsid w:val="00E200A2"/>
    <w:rsid w:val="00EC1595"/>
    <w:rsid w:val="00F618B9"/>
    <w:rsid w:val="00F74F0A"/>
    <w:rsid w:val="00F76EC1"/>
    <w:rsid w:val="00F774F5"/>
    <w:rsid w:val="00F85C99"/>
    <w:rsid w:val="019978BC"/>
    <w:rsid w:val="01AB2292"/>
    <w:rsid w:val="01C73F46"/>
    <w:rsid w:val="025C1807"/>
    <w:rsid w:val="02AD2A4A"/>
    <w:rsid w:val="02D05560"/>
    <w:rsid w:val="02DA1F3A"/>
    <w:rsid w:val="02EA2B78"/>
    <w:rsid w:val="03047632"/>
    <w:rsid w:val="03CF5817"/>
    <w:rsid w:val="04525A3C"/>
    <w:rsid w:val="04985108"/>
    <w:rsid w:val="049D76C3"/>
    <w:rsid w:val="05367E3D"/>
    <w:rsid w:val="053E0CF5"/>
    <w:rsid w:val="05503AC8"/>
    <w:rsid w:val="0568515C"/>
    <w:rsid w:val="057828EE"/>
    <w:rsid w:val="05CD15ED"/>
    <w:rsid w:val="06350747"/>
    <w:rsid w:val="06454D14"/>
    <w:rsid w:val="070005F4"/>
    <w:rsid w:val="07353FC1"/>
    <w:rsid w:val="083A7D32"/>
    <w:rsid w:val="08506CC2"/>
    <w:rsid w:val="08592B54"/>
    <w:rsid w:val="08635D8B"/>
    <w:rsid w:val="08875E29"/>
    <w:rsid w:val="08D33389"/>
    <w:rsid w:val="08DF02AB"/>
    <w:rsid w:val="08F95C74"/>
    <w:rsid w:val="09264823"/>
    <w:rsid w:val="098034A2"/>
    <w:rsid w:val="09826FA9"/>
    <w:rsid w:val="0A554EFC"/>
    <w:rsid w:val="0B152E55"/>
    <w:rsid w:val="0B8373EF"/>
    <w:rsid w:val="0B9A7302"/>
    <w:rsid w:val="0BC33EB3"/>
    <w:rsid w:val="0C24191C"/>
    <w:rsid w:val="0C396D85"/>
    <w:rsid w:val="0CF4149F"/>
    <w:rsid w:val="0D380211"/>
    <w:rsid w:val="0D3D37F2"/>
    <w:rsid w:val="0D435217"/>
    <w:rsid w:val="0D590496"/>
    <w:rsid w:val="0D737CFF"/>
    <w:rsid w:val="0DBE4A5E"/>
    <w:rsid w:val="0E9512FB"/>
    <w:rsid w:val="0F58315B"/>
    <w:rsid w:val="0FB66625"/>
    <w:rsid w:val="10693046"/>
    <w:rsid w:val="10E02AE1"/>
    <w:rsid w:val="11060153"/>
    <w:rsid w:val="110C6D15"/>
    <w:rsid w:val="114D7698"/>
    <w:rsid w:val="11880464"/>
    <w:rsid w:val="119360D6"/>
    <w:rsid w:val="11F35B17"/>
    <w:rsid w:val="132711CC"/>
    <w:rsid w:val="13CD72B1"/>
    <w:rsid w:val="147677A3"/>
    <w:rsid w:val="14890C97"/>
    <w:rsid w:val="15DB21BE"/>
    <w:rsid w:val="166746CF"/>
    <w:rsid w:val="16C555A8"/>
    <w:rsid w:val="16C77EC8"/>
    <w:rsid w:val="18305A3B"/>
    <w:rsid w:val="18932590"/>
    <w:rsid w:val="189D6891"/>
    <w:rsid w:val="18AB12B8"/>
    <w:rsid w:val="18FD1401"/>
    <w:rsid w:val="19140406"/>
    <w:rsid w:val="199879BE"/>
    <w:rsid w:val="1A0C6AF4"/>
    <w:rsid w:val="1A315C81"/>
    <w:rsid w:val="1A830C8C"/>
    <w:rsid w:val="1A951396"/>
    <w:rsid w:val="1ABD1C31"/>
    <w:rsid w:val="1ADA27A4"/>
    <w:rsid w:val="1AF70C4B"/>
    <w:rsid w:val="1B761958"/>
    <w:rsid w:val="1BC00502"/>
    <w:rsid w:val="1C35271B"/>
    <w:rsid w:val="1C8B2F57"/>
    <w:rsid w:val="1CE4012E"/>
    <w:rsid w:val="1D752B34"/>
    <w:rsid w:val="1DBA5ADA"/>
    <w:rsid w:val="1DEA3522"/>
    <w:rsid w:val="1E541F66"/>
    <w:rsid w:val="1E686C52"/>
    <w:rsid w:val="1E82172C"/>
    <w:rsid w:val="1EAD6FBB"/>
    <w:rsid w:val="1F0A2EA7"/>
    <w:rsid w:val="1F69215E"/>
    <w:rsid w:val="1F6D26B9"/>
    <w:rsid w:val="1F9D516C"/>
    <w:rsid w:val="1FBF453A"/>
    <w:rsid w:val="201647F5"/>
    <w:rsid w:val="206604B1"/>
    <w:rsid w:val="20B816B5"/>
    <w:rsid w:val="216A20BE"/>
    <w:rsid w:val="21F0715B"/>
    <w:rsid w:val="228046E2"/>
    <w:rsid w:val="241238A5"/>
    <w:rsid w:val="25073029"/>
    <w:rsid w:val="25334962"/>
    <w:rsid w:val="25505CA2"/>
    <w:rsid w:val="256C0DC5"/>
    <w:rsid w:val="257A718B"/>
    <w:rsid w:val="258E02DC"/>
    <w:rsid w:val="259A75DB"/>
    <w:rsid w:val="25A2704B"/>
    <w:rsid w:val="25E76DF2"/>
    <w:rsid w:val="2603608C"/>
    <w:rsid w:val="26142958"/>
    <w:rsid w:val="26364D41"/>
    <w:rsid w:val="263E40EA"/>
    <w:rsid w:val="26803B43"/>
    <w:rsid w:val="268C49EB"/>
    <w:rsid w:val="26DC5ACE"/>
    <w:rsid w:val="26E9726B"/>
    <w:rsid w:val="26FA02EF"/>
    <w:rsid w:val="283E4B96"/>
    <w:rsid w:val="287B714F"/>
    <w:rsid w:val="28F82711"/>
    <w:rsid w:val="291144E1"/>
    <w:rsid w:val="29147F8B"/>
    <w:rsid w:val="29E73CCA"/>
    <w:rsid w:val="29FB7BCC"/>
    <w:rsid w:val="2A3B6454"/>
    <w:rsid w:val="2AEB2EEB"/>
    <w:rsid w:val="2AF314CA"/>
    <w:rsid w:val="2B421B68"/>
    <w:rsid w:val="2B62009B"/>
    <w:rsid w:val="2B84447A"/>
    <w:rsid w:val="2B87116A"/>
    <w:rsid w:val="2C2916B9"/>
    <w:rsid w:val="2CCC458F"/>
    <w:rsid w:val="2CDA6711"/>
    <w:rsid w:val="2D210FA3"/>
    <w:rsid w:val="2D4D6115"/>
    <w:rsid w:val="2D650892"/>
    <w:rsid w:val="2D937732"/>
    <w:rsid w:val="2E771730"/>
    <w:rsid w:val="2F532CB4"/>
    <w:rsid w:val="2FC84C48"/>
    <w:rsid w:val="30067398"/>
    <w:rsid w:val="3013786F"/>
    <w:rsid w:val="305407DE"/>
    <w:rsid w:val="30550CCF"/>
    <w:rsid w:val="30C037B2"/>
    <w:rsid w:val="30EB648E"/>
    <w:rsid w:val="3109473C"/>
    <w:rsid w:val="313909D9"/>
    <w:rsid w:val="31927D00"/>
    <w:rsid w:val="32406B7F"/>
    <w:rsid w:val="329F4483"/>
    <w:rsid w:val="32D00AE0"/>
    <w:rsid w:val="334D55F5"/>
    <w:rsid w:val="342A79DC"/>
    <w:rsid w:val="34781430"/>
    <w:rsid w:val="348225C8"/>
    <w:rsid w:val="34DA429D"/>
    <w:rsid w:val="34ED65A8"/>
    <w:rsid w:val="3528102E"/>
    <w:rsid w:val="352B46F4"/>
    <w:rsid w:val="359B617B"/>
    <w:rsid w:val="359D6344"/>
    <w:rsid w:val="35CE496D"/>
    <w:rsid w:val="35F453FE"/>
    <w:rsid w:val="3679081C"/>
    <w:rsid w:val="367E6FFD"/>
    <w:rsid w:val="36BE6EA2"/>
    <w:rsid w:val="36E3525C"/>
    <w:rsid w:val="371371EE"/>
    <w:rsid w:val="372551BB"/>
    <w:rsid w:val="37256F21"/>
    <w:rsid w:val="378400EB"/>
    <w:rsid w:val="37A904DC"/>
    <w:rsid w:val="37C417AA"/>
    <w:rsid w:val="3935503D"/>
    <w:rsid w:val="3AEB70E4"/>
    <w:rsid w:val="3AEF1D20"/>
    <w:rsid w:val="3B056063"/>
    <w:rsid w:val="3C700244"/>
    <w:rsid w:val="3CCF3BB7"/>
    <w:rsid w:val="3D09699A"/>
    <w:rsid w:val="3DA35D3C"/>
    <w:rsid w:val="3E1F6A8C"/>
    <w:rsid w:val="3E585156"/>
    <w:rsid w:val="3E644D42"/>
    <w:rsid w:val="3E7E4320"/>
    <w:rsid w:val="3EC92FD6"/>
    <w:rsid w:val="3FE3517F"/>
    <w:rsid w:val="40080CC2"/>
    <w:rsid w:val="41760AA5"/>
    <w:rsid w:val="41E6662C"/>
    <w:rsid w:val="4210071B"/>
    <w:rsid w:val="42A338A7"/>
    <w:rsid w:val="42F37A63"/>
    <w:rsid w:val="43F65A1D"/>
    <w:rsid w:val="443D278B"/>
    <w:rsid w:val="44461B77"/>
    <w:rsid w:val="44727C49"/>
    <w:rsid w:val="449D218D"/>
    <w:rsid w:val="44B07BCE"/>
    <w:rsid w:val="4509629F"/>
    <w:rsid w:val="45C168FC"/>
    <w:rsid w:val="45D72DF6"/>
    <w:rsid w:val="46064E61"/>
    <w:rsid w:val="47074F25"/>
    <w:rsid w:val="478A1B44"/>
    <w:rsid w:val="482F4492"/>
    <w:rsid w:val="485F60A2"/>
    <w:rsid w:val="48FB29B1"/>
    <w:rsid w:val="493C3F57"/>
    <w:rsid w:val="49F96A8B"/>
    <w:rsid w:val="4A0B02DA"/>
    <w:rsid w:val="4A311BC6"/>
    <w:rsid w:val="4A3B0ADD"/>
    <w:rsid w:val="4A8B035F"/>
    <w:rsid w:val="4A8C3CFC"/>
    <w:rsid w:val="4AAB4D5B"/>
    <w:rsid w:val="4B193F45"/>
    <w:rsid w:val="4B652D40"/>
    <w:rsid w:val="4C40066C"/>
    <w:rsid w:val="4CA2326A"/>
    <w:rsid w:val="4CF03E01"/>
    <w:rsid w:val="4D553DB6"/>
    <w:rsid w:val="4DB12E65"/>
    <w:rsid w:val="4ECA0CF4"/>
    <w:rsid w:val="4EED4EF0"/>
    <w:rsid w:val="4F3A498A"/>
    <w:rsid w:val="4F933CD1"/>
    <w:rsid w:val="4FB11D0A"/>
    <w:rsid w:val="4FF4763C"/>
    <w:rsid w:val="507117E6"/>
    <w:rsid w:val="50D90BB3"/>
    <w:rsid w:val="518D21E0"/>
    <w:rsid w:val="51EF28F9"/>
    <w:rsid w:val="529E7E5B"/>
    <w:rsid w:val="531C1EB0"/>
    <w:rsid w:val="5320169C"/>
    <w:rsid w:val="54657853"/>
    <w:rsid w:val="547D2A8A"/>
    <w:rsid w:val="54C865E5"/>
    <w:rsid w:val="54EA24A2"/>
    <w:rsid w:val="55254F50"/>
    <w:rsid w:val="5552550A"/>
    <w:rsid w:val="55A41A91"/>
    <w:rsid w:val="565C2257"/>
    <w:rsid w:val="565E4742"/>
    <w:rsid w:val="566F6BDB"/>
    <w:rsid w:val="56857687"/>
    <w:rsid w:val="570D735E"/>
    <w:rsid w:val="57B61FF7"/>
    <w:rsid w:val="57B71F4F"/>
    <w:rsid w:val="57BB6E69"/>
    <w:rsid w:val="586C1EE8"/>
    <w:rsid w:val="58D91BA4"/>
    <w:rsid w:val="59147C16"/>
    <w:rsid w:val="59280F13"/>
    <w:rsid w:val="59D433EA"/>
    <w:rsid w:val="5A5752C7"/>
    <w:rsid w:val="5B1E6E3B"/>
    <w:rsid w:val="5B294982"/>
    <w:rsid w:val="5BA16563"/>
    <w:rsid w:val="5C4A6731"/>
    <w:rsid w:val="5C4D368A"/>
    <w:rsid w:val="5C5F46A8"/>
    <w:rsid w:val="5C7F0379"/>
    <w:rsid w:val="5C8C6F77"/>
    <w:rsid w:val="5C907E72"/>
    <w:rsid w:val="5CFD19E3"/>
    <w:rsid w:val="5D380C1A"/>
    <w:rsid w:val="5DB217C6"/>
    <w:rsid w:val="5E242673"/>
    <w:rsid w:val="5EB5608F"/>
    <w:rsid w:val="5F0B47E5"/>
    <w:rsid w:val="5F125F0A"/>
    <w:rsid w:val="5F4C5BA2"/>
    <w:rsid w:val="5FD514F7"/>
    <w:rsid w:val="606B1568"/>
    <w:rsid w:val="608A6609"/>
    <w:rsid w:val="608F7035"/>
    <w:rsid w:val="60923DFD"/>
    <w:rsid w:val="60AA452E"/>
    <w:rsid w:val="60AC5E39"/>
    <w:rsid w:val="60C76042"/>
    <w:rsid w:val="61097E23"/>
    <w:rsid w:val="612A5A76"/>
    <w:rsid w:val="61836C08"/>
    <w:rsid w:val="61B21CD6"/>
    <w:rsid w:val="61E41603"/>
    <w:rsid w:val="62007435"/>
    <w:rsid w:val="6276534C"/>
    <w:rsid w:val="62792CA9"/>
    <w:rsid w:val="627B1FBF"/>
    <w:rsid w:val="62831DD4"/>
    <w:rsid w:val="629F4BEA"/>
    <w:rsid w:val="6315416A"/>
    <w:rsid w:val="63452684"/>
    <w:rsid w:val="634C7460"/>
    <w:rsid w:val="641B7D10"/>
    <w:rsid w:val="64261F07"/>
    <w:rsid w:val="647E6EE8"/>
    <w:rsid w:val="64B41F4A"/>
    <w:rsid w:val="64B93944"/>
    <w:rsid w:val="6533339E"/>
    <w:rsid w:val="653F2367"/>
    <w:rsid w:val="66067D9A"/>
    <w:rsid w:val="6632212A"/>
    <w:rsid w:val="664B25CB"/>
    <w:rsid w:val="66702013"/>
    <w:rsid w:val="66A27570"/>
    <w:rsid w:val="66B84339"/>
    <w:rsid w:val="675E7677"/>
    <w:rsid w:val="677718E9"/>
    <w:rsid w:val="680402E9"/>
    <w:rsid w:val="68157452"/>
    <w:rsid w:val="68237F70"/>
    <w:rsid w:val="68AB7945"/>
    <w:rsid w:val="69A44DE6"/>
    <w:rsid w:val="69AA4EE0"/>
    <w:rsid w:val="6A216DD1"/>
    <w:rsid w:val="6B621DBD"/>
    <w:rsid w:val="6B7F629E"/>
    <w:rsid w:val="6C5D623A"/>
    <w:rsid w:val="6C9D6941"/>
    <w:rsid w:val="6D885538"/>
    <w:rsid w:val="6D996957"/>
    <w:rsid w:val="6DF2716D"/>
    <w:rsid w:val="6E044554"/>
    <w:rsid w:val="6E0F2F9F"/>
    <w:rsid w:val="6E244AEB"/>
    <w:rsid w:val="6E337153"/>
    <w:rsid w:val="6E396833"/>
    <w:rsid w:val="6E613664"/>
    <w:rsid w:val="6E855972"/>
    <w:rsid w:val="6EBC27DF"/>
    <w:rsid w:val="6EFE2F7A"/>
    <w:rsid w:val="6F486BB9"/>
    <w:rsid w:val="6FA5218B"/>
    <w:rsid w:val="6FD66A2F"/>
    <w:rsid w:val="6FEB702D"/>
    <w:rsid w:val="705F16CD"/>
    <w:rsid w:val="70716763"/>
    <w:rsid w:val="70CE58A6"/>
    <w:rsid w:val="70FD7A60"/>
    <w:rsid w:val="716419ED"/>
    <w:rsid w:val="71CB012B"/>
    <w:rsid w:val="71F047A2"/>
    <w:rsid w:val="72763201"/>
    <w:rsid w:val="728505E8"/>
    <w:rsid w:val="72D82EF8"/>
    <w:rsid w:val="733D7AF3"/>
    <w:rsid w:val="73544D44"/>
    <w:rsid w:val="736D1458"/>
    <w:rsid w:val="73730B78"/>
    <w:rsid w:val="73832BA7"/>
    <w:rsid w:val="73847C0C"/>
    <w:rsid w:val="739E3BBB"/>
    <w:rsid w:val="73B66440"/>
    <w:rsid w:val="73BE3A62"/>
    <w:rsid w:val="740D13CE"/>
    <w:rsid w:val="74491AD5"/>
    <w:rsid w:val="748F53FE"/>
    <w:rsid w:val="7490285F"/>
    <w:rsid w:val="74EB6FB4"/>
    <w:rsid w:val="75037F5F"/>
    <w:rsid w:val="750E0A19"/>
    <w:rsid w:val="756621D5"/>
    <w:rsid w:val="75936D1E"/>
    <w:rsid w:val="75C9324B"/>
    <w:rsid w:val="76D17F50"/>
    <w:rsid w:val="76EE05AE"/>
    <w:rsid w:val="77087288"/>
    <w:rsid w:val="771B3BEE"/>
    <w:rsid w:val="776C7E5C"/>
    <w:rsid w:val="777F4F36"/>
    <w:rsid w:val="780008EC"/>
    <w:rsid w:val="780D6C5D"/>
    <w:rsid w:val="78280044"/>
    <w:rsid w:val="792A50BD"/>
    <w:rsid w:val="796E130F"/>
    <w:rsid w:val="79C96FDE"/>
    <w:rsid w:val="79DB0110"/>
    <w:rsid w:val="79F01850"/>
    <w:rsid w:val="7A2C7645"/>
    <w:rsid w:val="7A610597"/>
    <w:rsid w:val="7A6C5343"/>
    <w:rsid w:val="7A9F13F5"/>
    <w:rsid w:val="7AA56862"/>
    <w:rsid w:val="7B775E5B"/>
    <w:rsid w:val="7BF07527"/>
    <w:rsid w:val="7D5B302A"/>
    <w:rsid w:val="7DCD7FC6"/>
    <w:rsid w:val="7DEE4076"/>
    <w:rsid w:val="7E6B2559"/>
    <w:rsid w:val="7E9A5B2F"/>
    <w:rsid w:val="7EAD4DFF"/>
    <w:rsid w:val="7F0526E2"/>
    <w:rsid w:val="7F9F3680"/>
    <w:rsid w:val="7FA61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0"/>
      </w:numPr>
      <w:adjustRightInd w:val="0"/>
      <w:snapToGrid w:val="0"/>
      <w:spacing w:beforeLines="100" w:beforeAutospacing="0" w:after="100" w:afterLines="100" w:afterAutospacing="0" w:line="240" w:lineRule="auto"/>
      <w:ind w:left="0" w:firstLine="0"/>
      <w:jc w:val="center"/>
      <w:outlineLvl w:val="0"/>
    </w:pPr>
    <w:rPr>
      <w:rFonts w:ascii="Times New Roman" w:hAnsi="Times New Roman" w:eastAsia="宋体" w:cs="Times New Roman"/>
      <w:b/>
      <w:bCs/>
      <w:kern w:val="44"/>
      <w:sz w:val="36"/>
      <w:szCs w:val="44"/>
    </w:rPr>
  </w:style>
  <w:style w:type="paragraph" w:styleId="3">
    <w:name w:val="heading 2"/>
    <w:basedOn w:val="1"/>
    <w:next w:val="4"/>
    <w:unhideWhenUsed/>
    <w:qFormat/>
    <w:uiPriority w:val="0"/>
    <w:pPr>
      <w:keepNext/>
      <w:keepLines/>
      <w:numPr>
        <w:ilvl w:val="1"/>
        <w:numId w:val="0"/>
      </w:numPr>
      <w:adjustRightInd w:val="0"/>
      <w:snapToGrid w:val="0"/>
      <w:spacing w:before="100" w:beforeLines="100" w:beforeAutospacing="0" w:after="100" w:afterLines="100" w:afterAutospacing="0" w:line="240" w:lineRule="auto"/>
      <w:ind w:left="0" w:firstLine="0"/>
      <w:jc w:val="center"/>
      <w:outlineLvl w:val="1"/>
    </w:pPr>
    <w:rPr>
      <w:rFonts w:ascii="Times New Roman" w:hAnsi="Times New Roman" w:eastAsia="黑体"/>
      <w:sz w:val="30"/>
    </w:rPr>
  </w:style>
  <w:style w:type="character" w:default="1" w:styleId="14">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First Indent 2"/>
    <w:basedOn w:val="5"/>
    <w:next w:val="1"/>
    <w:qFormat/>
    <w:uiPriority w:val="99"/>
    <w:pPr>
      <w:spacing w:after="0"/>
      <w:ind w:left="0" w:leftChars="0"/>
    </w:pPr>
    <w:rPr>
      <w:rFonts w:hint="eastAsia"/>
    </w:rPr>
  </w:style>
  <w:style w:type="paragraph" w:styleId="5">
    <w:name w:val="Body Text Indent"/>
    <w:basedOn w:val="1"/>
    <w:next w:val="1"/>
    <w:qFormat/>
    <w:uiPriority w:val="0"/>
    <w:pPr>
      <w:spacing w:after="120"/>
      <w:ind w:left="420" w:leftChars="200"/>
    </w:pPr>
  </w:style>
  <w:style w:type="paragraph" w:styleId="6">
    <w:name w:val="Body Text"/>
    <w:basedOn w:val="1"/>
    <w:qFormat/>
    <w:uiPriority w:val="0"/>
    <w:pPr>
      <w:spacing w:after="120" w:afterLines="0" w:afterAutospacing="0"/>
    </w:pPr>
  </w:style>
  <w:style w:type="paragraph" w:styleId="7">
    <w:name w:val="footer"/>
    <w:basedOn w:val="1"/>
    <w:link w:val="18"/>
    <w:qFormat/>
    <w:uiPriority w:val="0"/>
    <w:pPr>
      <w:tabs>
        <w:tab w:val="center" w:pos="4153"/>
        <w:tab w:val="right" w:pos="8306"/>
      </w:tabs>
      <w:snapToGrid w:val="0"/>
      <w:jc w:val="left"/>
    </w:pPr>
    <w:rPr>
      <w:sz w:val="18"/>
      <w:szCs w:val="18"/>
    </w:rPr>
  </w:style>
  <w:style w:type="paragraph" w:styleId="8">
    <w:name w:val="header"/>
    <w:basedOn w:val="1"/>
    <w:link w:val="17"/>
    <w:qFormat/>
    <w:uiPriority w:val="0"/>
    <w:pP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semiHidden/>
    <w:unhideWhenUsed/>
    <w:qFormat/>
    <w:uiPriority w:val="99"/>
  </w:style>
  <w:style w:type="table" w:styleId="13">
    <w:name w:val="Table Grid"/>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5">
    <w:name w:val="Strong"/>
    <w:qFormat/>
    <w:uiPriority w:val="22"/>
    <w:rPr>
      <w:b/>
      <w:bCs/>
    </w:rPr>
  </w:style>
  <w:style w:type="table" w:customStyle="1" w:styleId="16">
    <w:name w:val="Table Normal"/>
    <w:semiHidden/>
    <w:unhideWhenUsed/>
    <w:qFormat/>
    <w:uiPriority w:val="0"/>
    <w:tblPr>
      <w:tblCellMar>
        <w:top w:w="0" w:type="dxa"/>
        <w:left w:w="0" w:type="dxa"/>
        <w:bottom w:w="0" w:type="dxa"/>
        <w:right w:w="0" w:type="dxa"/>
      </w:tblCellMar>
    </w:tblPr>
  </w:style>
  <w:style w:type="character" w:customStyle="1" w:styleId="17">
    <w:name w:val="页眉 字符"/>
    <w:basedOn w:val="14"/>
    <w:link w:val="8"/>
    <w:qFormat/>
    <w:uiPriority w:val="0"/>
    <w:rPr>
      <w:rFonts w:asciiTheme="minorHAnsi" w:hAnsiTheme="minorHAnsi" w:eastAsiaTheme="minorEastAsia" w:cstheme="minorBidi"/>
      <w:kern w:val="2"/>
      <w:sz w:val="18"/>
      <w:szCs w:val="18"/>
    </w:rPr>
  </w:style>
  <w:style w:type="character" w:customStyle="1" w:styleId="18">
    <w:name w:val="页脚 字符"/>
    <w:basedOn w:val="14"/>
    <w:link w:val="7"/>
    <w:qFormat/>
    <w:uiPriority w:val="0"/>
    <w:rPr>
      <w:rFonts w:asciiTheme="minorHAnsi" w:hAnsiTheme="minorHAnsi" w:eastAsiaTheme="minorEastAsia" w:cstheme="minorBidi"/>
      <w:kern w:val="2"/>
      <w:sz w:val="18"/>
      <w:szCs w:val="18"/>
    </w:rPr>
  </w:style>
  <w:style w:type="paragraph" w:styleId="19">
    <w:name w:val="List Paragraph"/>
    <w:basedOn w:val="1"/>
    <w:unhideWhenUsed/>
    <w:qFormat/>
    <w:uiPriority w:val="99"/>
    <w:pPr>
      <w:ind w:firstLine="420" w:firstLineChars="200"/>
    </w:pPr>
  </w:style>
  <w:style w:type="paragraph" w:customStyle="1" w:styleId="20">
    <w:name w:val="标准正文"/>
    <w:basedOn w:val="1"/>
    <w:qFormat/>
    <w:uiPriority w:val="0"/>
    <w:pPr>
      <w:adjustRightInd w:val="0"/>
      <w:snapToGrid w:val="0"/>
      <w:spacing w:line="360" w:lineRule="auto"/>
    </w:pPr>
    <w:rPr>
      <w:rFonts w:ascii="Times New Roman" w:hAnsi="Times New Roman" w:eastAsia="宋体" w:cs="Times New Roman"/>
      <w:kern w:val="44"/>
      <w:sz w:val="28"/>
      <w:szCs w:val="28"/>
    </w:rPr>
  </w:style>
  <w:style w:type="paragraph" w:customStyle="1" w:styleId="21">
    <w:name w:val="WPSOffice手动目录 1"/>
    <w:qFormat/>
    <w:uiPriority w:val="0"/>
    <w:pPr>
      <w:ind w:leftChars="0"/>
    </w:pPr>
    <w:rPr>
      <w:rFonts w:ascii="Times New Roman" w:hAnsi="Times New Roman" w:eastAsia="宋体" w:cs="Times New Roman"/>
      <w:sz w:val="20"/>
      <w:szCs w:val="20"/>
    </w:rPr>
  </w:style>
  <w:style w:type="paragraph" w:customStyle="1" w:styleId="22">
    <w:name w:val="WPSOffice手动目录 2"/>
    <w:qFormat/>
    <w:uiPriority w:val="0"/>
    <w:pPr>
      <w:ind w:leftChars="200"/>
    </w:pPr>
    <w:rPr>
      <w:rFonts w:ascii="Times New Roman" w:hAnsi="Times New Roman" w:eastAsia="宋体" w:cs="Times New Roman"/>
      <w:sz w:val="20"/>
      <w:szCs w:val="20"/>
    </w:rPr>
  </w:style>
  <w:style w:type="character" w:customStyle="1" w:styleId="23">
    <w:name w:val="font21"/>
    <w:basedOn w:val="14"/>
    <w:qFormat/>
    <w:uiPriority w:val="0"/>
    <w:rPr>
      <w:rFonts w:hint="eastAsia" w:ascii="宋体" w:hAnsi="宋体" w:eastAsia="宋体" w:cs="宋体"/>
      <w:color w:val="000000"/>
      <w:sz w:val="28"/>
      <w:szCs w:val="28"/>
      <w:u w:val="none"/>
    </w:rPr>
  </w:style>
  <w:style w:type="character" w:customStyle="1" w:styleId="24">
    <w:name w:val="font51"/>
    <w:basedOn w:val="14"/>
    <w:qFormat/>
    <w:uiPriority w:val="0"/>
    <w:rPr>
      <w:rFonts w:hint="default" w:ascii="Times New Roman" w:hAnsi="Times New Roman" w:cs="Times New Roman"/>
      <w:color w:val="000000"/>
      <w:sz w:val="28"/>
      <w:szCs w:val="28"/>
      <w:u w:val="none"/>
    </w:rPr>
  </w:style>
  <w:style w:type="character" w:customStyle="1" w:styleId="25">
    <w:name w:val="font11"/>
    <w:basedOn w:val="14"/>
    <w:qFormat/>
    <w:uiPriority w:val="0"/>
    <w:rPr>
      <w:rFonts w:hint="eastAsia" w:ascii="宋体" w:hAnsi="宋体" w:eastAsia="宋体" w:cs="宋体"/>
      <w:color w:val="000000"/>
      <w:sz w:val="24"/>
      <w:szCs w:val="24"/>
      <w:u w:val="none"/>
    </w:rPr>
  </w:style>
  <w:style w:type="paragraph" w:customStyle="1" w:styleId="26">
    <w:name w:val="标准一级标题"/>
    <w:basedOn w:val="20"/>
    <w:next w:val="20"/>
    <w:qFormat/>
    <w:uiPriority w:val="0"/>
    <w:pPr>
      <w:autoSpaceDE/>
      <w:autoSpaceDN/>
      <w:spacing w:after="100" w:afterLines="100"/>
      <w:jc w:val="center"/>
    </w:pPr>
    <w:rPr>
      <w:rFonts w:ascii="Times New Roman" w:hAnsi="Times New Roman" w:eastAsia="宋体" w:cs="Times New Roman"/>
      <w:sz w:val="44"/>
      <w:szCs w:val="44"/>
    </w:rPr>
  </w:style>
  <w:style w:type="paragraph" w:customStyle="1" w:styleId="27">
    <w:name w:val="标准二级标题"/>
    <w:basedOn w:val="1"/>
    <w:qFormat/>
    <w:uiPriority w:val="0"/>
    <w:pPr>
      <w:autoSpaceDE/>
      <w:autoSpaceDN/>
      <w:adjustRightInd w:val="0"/>
      <w:snapToGrid w:val="0"/>
      <w:spacing w:before="50" w:beforeLines="50" w:after="50" w:afterLines="50" w:line="360" w:lineRule="auto"/>
      <w:jc w:val="center"/>
    </w:pPr>
    <w:rPr>
      <w:rFonts w:ascii="Times New Roman" w:hAnsi="Times New Roman" w:eastAsia="黑体" w:cs="Times New Roman"/>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93</Words>
  <Characters>216</Characters>
  <Lines>176</Lines>
  <Paragraphs>49</Paragraphs>
  <TotalTime>31</TotalTime>
  <ScaleCrop>false</ScaleCrop>
  <LinksUpToDate>false</LinksUpToDate>
  <CharactersWithSpaces>257</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2025-07-04T02:51:00Z</dcterms:created>
  <dc:creator>Administrator</dc:creator>
  <cp:lastModifiedBy>Administrator</cp:lastModifiedBy>
  <dcterms:modified xsi:type="dcterms:W3CDTF">2026-08-26T02:49:17Z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9139A5D1EA1A4F9892776B49EEC40BBC_13</vt:lpwstr>
  </property>
  <property fmtid="{D5CDD505-2E9C-101B-9397-08002B2CF9AE}" pid="4" name="KSOTemplateDocerSaveRecord">
    <vt:lpwstr>eyJoZGlkIjoiNzI1MzljODBiNDliMzEyMzFlZWNlN2EzYjU0N2YzMWEiLCJ1c2VySWQiOiIxMTY4NDYyMjMzIn0=</vt:lpwstr>
  </property>
</Properties>
</file>