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color w:val="000000"/>
          <w:spacing w:val="0"/>
          <w:w w:val="100"/>
          <w:position w:val="0"/>
          <w:sz w:val="32"/>
          <w:szCs w:val="32"/>
          <w:lang w:val="en-US" w:eastAsia="zh-CN"/>
        </w:rPr>
      </w:pPr>
      <w:bookmarkStart w:id="0" w:name="bookmark51"/>
      <w:bookmarkStart w:id="1" w:name="bookmark52"/>
      <w:bookmarkStart w:id="2" w:name="bookmark50"/>
      <w:r>
        <w:rPr>
          <w:rFonts w:hint="eastAsia" w:ascii="仿宋_GB2312" w:hAnsi="仿宋_GB2312" w:eastAsia="仿宋_GB2312" w:cs="仿宋_GB2312"/>
          <w:b w:val="0"/>
          <w:bCs w:val="0"/>
          <w:color w:val="000000"/>
          <w:spacing w:val="0"/>
          <w:w w:val="100"/>
          <w:position w:val="0"/>
          <w:sz w:val="32"/>
          <w:szCs w:val="32"/>
          <w:lang w:val="en-US" w:eastAsia="zh-CN"/>
        </w:rPr>
        <w:t>附件3：</w:t>
      </w:r>
    </w:p>
    <w:p>
      <w:pPr>
        <w:jc w:val="center"/>
        <w:rPr>
          <w:rFonts w:hint="eastAsia" w:ascii="方正小标宋简体" w:hAnsi="方正小标宋简体" w:eastAsia="方正小标宋简体" w:cs="方正小标宋简体"/>
          <w:color w:val="000000"/>
          <w:spacing w:val="0"/>
          <w:w w:val="100"/>
          <w:position w:val="0"/>
          <w:sz w:val="32"/>
          <w:szCs w:val="32"/>
        </w:rPr>
      </w:pPr>
      <w:r>
        <w:rPr>
          <w:rFonts w:hint="eastAsia" w:ascii="方正小标宋简体" w:hAnsi="方正小标宋简体" w:eastAsia="方正小标宋简体" w:cs="方正小标宋简体"/>
          <w:b/>
          <w:bCs/>
          <w:color w:val="000000"/>
          <w:spacing w:val="0"/>
          <w:w w:val="100"/>
          <w:position w:val="0"/>
          <w:sz w:val="32"/>
          <w:szCs w:val="32"/>
        </w:rPr>
        <w:t>2020</w:t>
      </w:r>
      <w:r>
        <w:rPr>
          <w:rFonts w:hint="eastAsia" w:ascii="方正小标宋简体" w:hAnsi="方正小标宋简体" w:eastAsia="方正小标宋简体" w:cs="方正小标宋简体"/>
          <w:color w:val="000000"/>
          <w:spacing w:val="0"/>
          <w:w w:val="100"/>
          <w:position w:val="0"/>
          <w:sz w:val="32"/>
          <w:szCs w:val="32"/>
        </w:rPr>
        <w:t>年度全国一、二级注册建筑师</w:t>
      </w:r>
      <w:r>
        <w:rPr>
          <w:rFonts w:hint="eastAsia" w:ascii="方正小标宋简体" w:hAnsi="方正小标宋简体" w:eastAsia="方正小标宋简体" w:cs="方正小标宋简体"/>
          <w:color w:val="000000"/>
          <w:spacing w:val="0"/>
          <w:w w:val="100"/>
          <w:position w:val="0"/>
          <w:sz w:val="32"/>
          <w:szCs w:val="32"/>
        </w:rPr>
        <w:br w:type="textWrapping"/>
      </w:r>
      <w:r>
        <w:rPr>
          <w:rFonts w:hint="eastAsia" w:ascii="方正小标宋简体" w:hAnsi="方正小标宋简体" w:eastAsia="方正小标宋简体" w:cs="方正小标宋简体"/>
          <w:color w:val="000000"/>
          <w:spacing w:val="0"/>
          <w:w w:val="100"/>
          <w:position w:val="0"/>
          <w:sz w:val="32"/>
          <w:szCs w:val="32"/>
        </w:rPr>
        <w:t>资格考试应试人员注意事项</w:t>
      </w:r>
      <w:bookmarkEnd w:id="0"/>
      <w:bookmarkEnd w:id="1"/>
      <w:bookmarkEnd w:id="2"/>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本考试报名证明事项实行告知承诺制。应试人员应如实填报 本人相关信息，并对本人符合考试报名条件、填报信息真实有效 等作出承诺，故意隐瞒真实情况、提供不实承诺，或者以其他不正当手段取得考试资格、资格证书或者成绩证明的，依据《专业技术人员资格考试违纪违规行为处理规定》（人力资源和社会保障部令第31号）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二、禁止携带通讯工具</w:t>
      </w:r>
      <w:r>
        <w:rPr>
          <w:rFonts w:hint="eastAsia" w:ascii="黑体" w:hAnsi="黑体" w:eastAsia="黑体" w:cs="黑体"/>
          <w:sz w:val="32"/>
          <w:szCs w:val="32"/>
          <w:lang w:eastAsia="zh-CN"/>
        </w:rPr>
        <w:t>、</w:t>
      </w:r>
      <w:r>
        <w:rPr>
          <w:rFonts w:hint="eastAsia" w:ascii="黑体" w:hAnsi="黑体" w:eastAsia="黑体" w:cs="黑体"/>
          <w:sz w:val="32"/>
          <w:szCs w:val="32"/>
        </w:rPr>
        <w:t>有照相或摄像功能的电子用品进入考场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禁止携带通讯工具、有照相或摄像功能的电子用品进入考场。应试人员不得摄录试题、试卷及作答情况，更不得对外发布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一旦发现应试人员有此行为，将依照《专业技术人员资格考试违纪违规行为处理规定》（中华人民共和国人力资源和社会保障部令第31号）严肃处理。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职业实践要求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根据《关于〈一级注册建筑师职业实践登记手册〉有关事项的 通知》（注建秘〔2015） 4号），全国注册建筑师管理委员会不再统一印制《一级注册建筑师职业实践登记手册》，报考人员可在住房和城乡建设部执业资格注册中心网站（www</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pqrc.org. cn）上下载《一级注册建筑师职业实践登记手册》标准格式的电子文档，打印后按照职业实践内容填写，已经持有的《一级注册建筑师职业实践登记手册》可继续使用。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考试使用规范、标准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根据《关于调整注册建筑师考试书目内容的通知》（注建 〔2004） 6号）规定，注册建筑师考试使用的规范、标准以本考试年度上一年12月31日以前正式实施的规范、标准为准。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五、参加知识题科目考试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1.应试人员应携带2B铅笔、橡皮、无声及无文本编辑功能的计算器参加考试。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2.答题前，应试人员必须认真阅读印于本试卷封二的“应试 人员注意事项”，必须将工作单位、姓名、准考证号如实填写在 试卷规定的栏目内，将姓名和准考证号填写并填涂在答题卡相应 的栏目内。在其他位置书写工作单位、姓名、准考证号等信息的 按违纪违规行为处理。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3.按题号在答题卡上将所选选项对应的信息点用2B铅笔涂黑。如有改动，必须用橡皮擦净痕迹，以防电脑阅卷时误读。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参加作图题科目考试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1.应试人员于考试前30分钟进入考场做准备。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2.应试人员应携带以下工具和文具参加考试：无声及无文本编辑功能的计算器，三角板一套，圆规，</w:t>
      </w:r>
      <w:r>
        <w:rPr>
          <w:rFonts w:hint="eastAsia" w:ascii="仿宋_GB2312" w:hAnsi="仿宋_GB2312" w:eastAsia="仿宋_GB2312" w:cs="仿宋_GB2312"/>
          <w:sz w:val="32"/>
          <w:szCs w:val="32"/>
          <w:lang w:eastAsia="zh-CN"/>
        </w:rPr>
        <w:t>图板，</w:t>
      </w:r>
      <w:bookmarkStart w:id="3" w:name="_GoBack"/>
      <w:bookmarkEnd w:id="3"/>
      <w:r>
        <w:rPr>
          <w:rFonts w:hint="eastAsia" w:ascii="仿宋_GB2312" w:hAnsi="仿宋_GB2312" w:eastAsia="仿宋_GB2312" w:cs="仿宋_GB2312"/>
          <w:sz w:val="32"/>
          <w:szCs w:val="32"/>
        </w:rPr>
        <w:t>丁字尺，比例尺，建筑模板，绘图笔一套，铅笔，橡皮，订书机，刮图刀片，胶带纸、 空白草图纸、空白坐标纸等，其中草图纸及坐标纸考试后须交监 考老师收回，不得带离考场。不得携带有内容的草图纸、涂改液、 涂改带等。参加一级注册建筑师“建筑技术设计”、“场地设计”科目考试的应试人员还应携带2B铅笔。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3.答题前，应试人员必须认真阅读本作图题科目的</w:t>
      </w:r>
      <w:r>
        <w:rPr>
          <w:rFonts w:hint="eastAsia" w:ascii="仿宋_GB2312" w:hAnsi="仿宋_GB2312" w:eastAsia="仿宋_GB2312" w:cs="仿宋_GB2312"/>
          <w:b/>
          <w:bCs/>
          <w:sz w:val="32"/>
          <w:szCs w:val="32"/>
        </w:rPr>
        <w:t>“应试人员注意事项”，</w:t>
      </w:r>
      <w:r>
        <w:rPr>
          <w:rFonts w:hint="eastAsia" w:ascii="仿宋_GB2312" w:hAnsi="仿宋_GB2312" w:eastAsia="仿宋_GB2312" w:cs="仿宋_GB2312"/>
          <w:sz w:val="32"/>
          <w:szCs w:val="32"/>
        </w:rPr>
        <w:t>将姓名、准考证号如实填写在试卷封面规定的栏目内，姓名、准考证号应用正体书写，清晰并易于辨识。参加“建筑技术设计”、“场地设计”科目考试的应试人员，还须将姓名和准考证号填写并填涂在答题卡相应的栏目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4.作图题必须按规定的比例用黑色绘图笔绘制在试卷上。所有线条应光洁、清晰，不易擦去。各科目里若有允许徒手绘制的线条，其绘制说明见相应作图题科目的“应试人员注意事项”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5.应试人员可将试卷拆开以便作答，作答完毕后由应试人员本人将全部试卷按照页码顺序用订书机重新装订成册，订书钉应订在封面指定位置。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6.“建筑技术设计”和“场地设计”两个作图题考试科目试卷上有选择题，应试人员按下列三个步骤完成作答：</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作图；2.根据作图情况完成选择题作答;3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根据选择题作答结果填涂答题卡，按题号在答题卡上将所选选项对应的信息点用2B铅笔涂黑。未作图或未填涂答题卡均视为无效卷，</w:t>
      </w:r>
      <w:r>
        <w:rPr>
          <w:rFonts w:hint="eastAsia" w:ascii="仿宋_GB2312" w:hAnsi="仿宋_GB2312" w:eastAsia="仿宋_GB2312" w:cs="仿宋_GB2312"/>
          <w:sz w:val="32"/>
          <w:szCs w:val="32"/>
        </w:rPr>
        <w:t>不予评分。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bCs/>
          <w:sz w:val="32"/>
          <w:szCs w:val="32"/>
        </w:rPr>
        <w:t>作图题试卷有下列情形之一，造成无法评分的，后果由个人负责：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⑴姓名和准考证号填写错误的；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⑵试卷缺页的；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(3)“建筑技术设计”、“场地设计”科目的答题卡作答空缺的；</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8.特别提请注意，作图题试卷有下列情况之一的，按违纪违规行为处理</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⑴用彩色笔、铅笔、非制图用圆珠笔及泛蓝色钢笔等非黑色绘图笔制图的；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⑵将草图纸夹带或粘贴在试卷上的；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⑶在试卷指定位置以外书写姓名、准考证号，或在试卷上做与答题无关标记的；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sectPr>
          <w:headerReference r:id="rId3" w:type="default"/>
          <w:footerReference r:id="rId5" w:type="default"/>
          <w:headerReference r:id="rId4" w:type="even"/>
          <w:footerReference r:id="rId6" w:type="even"/>
          <w:footnotePr>
            <w:numFmt w:val="decimal"/>
          </w:footnotePr>
          <w:pgSz w:w="11900" w:h="16840"/>
          <w:pgMar w:top="2094" w:right="1283" w:bottom="1902" w:left="1717" w:header="0" w:footer="3" w:gutter="0"/>
          <w:cols w:space="720" w:num="1"/>
          <w:rtlGutter w:val="0"/>
          <w:docGrid w:linePitch="360" w:charSpace="0"/>
        </w:sectPr>
      </w:pPr>
      <w:r>
        <w:rPr>
          <w:rFonts w:hint="eastAsia" w:ascii="仿宋_GB2312" w:hAnsi="仿宋_GB2312" w:eastAsia="仿宋_GB2312" w:cs="仿宋_GB2312"/>
          <w:sz w:val="32"/>
          <w:szCs w:val="32"/>
        </w:rPr>
        <w:t>⑷使用涂改液或涂改带修改图纸</w:t>
      </w:r>
      <w:r>
        <w:rPr>
          <w:rFonts w:hint="eastAsia" w:ascii="仿宋_GB2312" w:hAnsi="仿宋_GB2312" w:eastAsia="仿宋_GB2312" w:cs="仿宋_GB2312"/>
          <w:color w:val="000000"/>
          <w:spacing w:val="0"/>
          <w:w w:val="100"/>
          <w:position w:val="0"/>
          <w:sz w:val="32"/>
          <w:szCs w:val="32"/>
        </w:rPr>
        <w:t>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6063615</wp:posOffset>
              </wp:positionH>
              <wp:positionV relativeFrom="page">
                <wp:posOffset>9564370</wp:posOffset>
              </wp:positionV>
              <wp:extent cx="41783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417830" cy="12509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39" o:spid="_x0000_s1026" o:spt="202" type="#_x0000_t202" style="position:absolute;left:0pt;margin-left:477.45pt;margin-top:753.1pt;height:9.85pt;width:32.9pt;mso-position-horizontal-relative:page;mso-position-vertical-relative:page;mso-wrap-style:none;z-index:-440400896;mso-width-relative:page;mso-height-relative:page;" filled="f" stroked="f" coordsize="21600,21600" o:gfxdata="UEsDBAoAAAAAAIdO4kAAAAAAAAAAAAAAAAAEAAAAZHJzL1BLAwQUAAAACACHTuJAv5LpONgAAAAO&#10;AQAADwAAAGRycy9kb3ducmV2LnhtbE2PsU7DMBCGdyTewTokNmo3Im2TxulQiYWNgpDY3PiaRLXP&#10;ke2mydvjTDDe/Z/++646TNawEX3oHUlYrwQwpMbpnloJX59vLztgISrSyjhCCTMGONSPD5UqtbvT&#10;B46n2LJUQqFUEroYh5Lz0HRoVVi5ASllF+etimn0Ldde3VO5NTwTYsOt6ild6NSAxw6b6+lmJWyn&#10;b4dDwCP+XMbGd/28M++zlM9Pa7EHFnGKfzAs+kkd6uR0djfSgRkJRf5aJDQFudhkwBZEZGIL7Lzs&#10;srwAXlf8/xv1L1BLAwQUAAAACACHTuJAqoU0Yo4BAAAjAwAADgAAAGRycy9lMm9Eb2MueG1srVLb&#10;TsMwDH1H4h+ivLN2416tQyAEQkKABHxAliZrpCaO4rB2f4+TdQPBG+Il9a3Hx8eeXw22Y2sV0ICr&#10;+XRScqachMa4Vc3f3+6OLjjDKFwjOnCq5huF/GpxeDDvfaVm0ELXqMAIxGHV+5q3MfqqKFC2ygqc&#10;gFeOkhqCFZHcsCqaIHpCt10xK8uzoofQ+ABSIVL0dpvki4yvtZLxWWtUkXU1J24xvyG/y/QWi7mo&#10;VkH41siRhvgDCyuMo6Z7qFsRBfsI5heUNTIAgo4TCbYArY1UeQaaZlr+mOa1FV7lWUgc9HuZ8P9g&#10;5dP6JTDT1Pz4kjMnLO0ot2Xkkzi9x4pqXj1VxeEGBlryLo4UTDMPOtj0pWkY5UnmzV5aNUQmKXgy&#10;Pb84poyk1HR2Wl6eJpTi62cfMN4rsCwZNQ+0uSyoWD9i3JbuSlIvB3em61I8MdwySVYclsNIewnN&#10;hlj3tNyaO7o+zroHR9qlO9gZYWcsRyOBo7/+iNQg902oW6ixGW0iMx+vJq36u5+rvm578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kuk42AAAAA4BAAAPAAAAAAAAAAEAIAAAACIAAABkcnMvZG93&#10;bnJldi54bWxQSwECFAAUAAAACACHTuJAqoU0Yo4BAAAjAwAADgAAAAAAAAABACAAAAAnAQAAZHJz&#10;L2Uyb0RvYy54bWxQSwUGAAAAAAYABgBZAQAAJwU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1214755</wp:posOffset>
              </wp:positionH>
              <wp:positionV relativeFrom="page">
                <wp:posOffset>9563735</wp:posOffset>
              </wp:positionV>
              <wp:extent cx="692150"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692150" cy="12509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41" o:spid="_x0000_s1026" o:spt="202" type="#_x0000_t202" style="position:absolute;left:0pt;margin-left:95.65pt;margin-top:753.05pt;height:9.85pt;width:54.5pt;mso-position-horizontal-relative:page;mso-position-vertical-relative:page;mso-wrap-style:none;z-index:-440400896;mso-width-relative:page;mso-height-relative:page;" filled="f" stroked="f" coordsize="21600,21600" o:gfxdata="UEsDBAoAAAAAAIdO4kAAAAAAAAAAAAAAAAAEAAAAZHJzL1BLAwQUAAAACACHTuJASdubYtcAAAAN&#10;AQAADwAAAGRycy9kb3ducmV2LnhtbE2PzW7CMBCE75X6DtYi9VbsgKBpGocDUi+9lVZIvZl4iSP8&#10;E9kmJG/f5dTedmZHs9/Wu8lZNmJMffASiqUAhr4NuvedhO+v9+cSWMrKa2WDRwkzJtg1jw+1qnS4&#10;+U8cD7ljVOJTpSSYnIeK89QadCotw4CeducQncokY8d1VDcqd5avhNhyp3pPF4wacG+wvRyuTsLL&#10;dAw4JNzjz3lso+nn0n7MUj4tCvEGLOOU/8Jwxyd0aIjpFK5eJ2ZJvxZritKwEdsCGEXWQpB1ulur&#10;TQm8qfn/L5pfUEsDBBQAAAAIAIdO4kCYh9t6kQEAACMDAAAOAAAAZHJzL2Uyb0RvYy54bWytUttq&#10;4zAQfV/oPwi9N7ZDEzYmTmkJLQvL7kLbD1BkKRZYGqFRY+fvd6Q4ybJ9K32R5+YzZ87M+n60PTuo&#10;gAZcw6tZyZlyElrj9g1/e326/c4ZRuFa0YNTDT8q5Pebm2/rwddqDh30rQqMQBzWg294F6OviwJl&#10;p6zAGXjlKKkhWBHJDfuiDWIgdNsX87JcFgOE1geQCpGi21OSbzK+1krG31qjiqxvOHGL+Q353aW3&#10;2KxFvQ/Cd0ZONMQnWFhhHDW9QG1FFOw9mA9Q1sgACDrOJNgCtDZS5Rlomqr8b5qXTniVZyFx0F9k&#10;wq+Dlb8OfwIzbcPvKs6csLSj3JaRT+IMHmuqefFUFcdHGGnJ5zhSMM086mDTl6ZhlCeZjxdp1RiZ&#10;pOByNa8WlJGUquaLcrVIKMX1Zx8wPiuwLBkND7S5LKg4/MR4Kj2XpF4Onkzfp3hieGKSrDjuxon2&#10;DtojsR5ouQ13dH2c9T8caZfu4GyEs7GbjASO/uE9UoPcN6GeoKZmtInMfLqatOp//Vx1ve3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Enbm2LXAAAADQEAAA8AAAAAAAAAAQAgAAAAIgAAAGRycy9k&#10;b3ducmV2LnhtbFBLAQIUABQAAAAIAIdO4kCYh9t6kQEAACMDAAAOAAAAAAAAAAEAIAAAACYBAABk&#10;cnMvZTJvRG9jLnhtbFBLBQYAAAAABgAGAFkBAAApBQ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A54F5"/>
    <w:rsid w:val="1C4D7435"/>
    <w:rsid w:val="7EFA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Header or foot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2020-08-02T03:30:00Z</dcterms:created>
  <dc:creator>一</dc:creator>
  <cp:lastModifiedBy>马素晔</cp:lastModifiedBy>
  <dcterms:modified xsi:type="dcterms:W3CDTF">2020-08-10T01:09:55Z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